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bCs/>
          <w:color w:val="000000"/>
          <w:sz w:val="44"/>
          <w:szCs w:val="44"/>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厦农规〔</w:t>
      </w:r>
      <w:r>
        <w:rPr>
          <w:rFonts w:hint="eastAsia" w:ascii="仿宋_GB2312" w:hAnsi="仿宋_GB2312" w:eastAsia="仿宋_GB2312" w:cs="仿宋_GB2312"/>
          <w:b w:val="0"/>
          <w:bCs w:val="0"/>
          <w:color w:val="000000"/>
          <w:sz w:val="32"/>
          <w:szCs w:val="32"/>
          <w:lang w:val="en-US" w:eastAsia="zh-CN"/>
        </w:rPr>
        <w:t>2021</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1号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lang w:eastAsia="zh-CN"/>
        </w:rPr>
        <w:t>厦门市</w:t>
      </w:r>
      <w:r>
        <w:rPr>
          <w:rFonts w:hint="eastAsia" w:ascii="方正小标宋简体" w:hAnsi="方正小标宋简体" w:eastAsia="方正小标宋简体" w:cs="方正小标宋简体"/>
          <w:b w:val="0"/>
          <w:bCs w:val="0"/>
          <w:color w:val="000000"/>
          <w:sz w:val="44"/>
          <w:szCs w:val="44"/>
        </w:rPr>
        <w:t>农业农村</w:t>
      </w:r>
      <w:r>
        <w:rPr>
          <w:rFonts w:hint="eastAsia" w:ascii="方正小标宋简体" w:hAnsi="方正小标宋简体" w:eastAsia="方正小标宋简体" w:cs="方正小标宋简体"/>
          <w:b w:val="0"/>
          <w:bCs w:val="0"/>
          <w:color w:val="000000"/>
          <w:sz w:val="44"/>
          <w:szCs w:val="44"/>
          <w:lang w:eastAsia="zh-CN"/>
        </w:rPr>
        <w:t>局</w:t>
      </w:r>
      <w:r>
        <w:rPr>
          <w:rFonts w:hint="eastAsia" w:ascii="方正小标宋简体" w:hAnsi="方正小标宋简体" w:eastAsia="方正小标宋简体" w:cs="方正小标宋简体"/>
          <w:b w:val="0"/>
          <w:bCs w:val="0"/>
          <w:color w:val="000000"/>
          <w:sz w:val="44"/>
          <w:szCs w:val="44"/>
        </w:rPr>
        <w:t>等</w:t>
      </w:r>
      <w:r>
        <w:rPr>
          <w:rFonts w:hint="eastAsia" w:ascii="方正小标宋简体" w:hAnsi="方正小标宋简体" w:eastAsia="方正小标宋简体" w:cs="方正小标宋简体"/>
          <w:b w:val="0"/>
          <w:bCs w:val="0"/>
          <w:color w:val="000000"/>
          <w:sz w:val="44"/>
          <w:szCs w:val="44"/>
          <w:lang w:val="en-US" w:eastAsia="zh-CN"/>
        </w:rPr>
        <w:t>11</w:t>
      </w:r>
      <w:r>
        <w:rPr>
          <w:rFonts w:hint="eastAsia" w:ascii="方正小标宋简体" w:hAnsi="方正小标宋简体" w:eastAsia="方正小标宋简体" w:cs="方正小标宋简体"/>
          <w:b w:val="0"/>
          <w:bCs w:val="0"/>
          <w:color w:val="000000"/>
          <w:sz w:val="44"/>
          <w:szCs w:val="44"/>
        </w:rPr>
        <w:t>部门关于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rPr>
        <w:t>印发</w:t>
      </w:r>
      <w:r>
        <w:rPr>
          <w:rFonts w:hint="eastAsia" w:ascii="方正小标宋简体" w:hAnsi="方正小标宋简体" w:eastAsia="方正小标宋简体" w:cs="方正小标宋简体"/>
          <w:b w:val="0"/>
          <w:bCs w:val="0"/>
          <w:color w:val="000000"/>
          <w:sz w:val="44"/>
          <w:szCs w:val="44"/>
          <w:lang w:eastAsia="zh-CN"/>
        </w:rPr>
        <w:t>厦门市农业产业化市级重点龙头企业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lang w:eastAsia="zh-CN"/>
        </w:rPr>
        <w:t>认定和运行监测管理办法</w:t>
      </w:r>
      <w:r>
        <w:rPr>
          <w:rFonts w:hint="eastAsia" w:ascii="方正小标宋简体" w:hAnsi="方正小标宋简体" w:eastAsia="方正小标宋简体" w:cs="方正小标宋简体"/>
          <w:b w:val="0"/>
          <w:bCs w:val="0"/>
          <w:color w:val="000000"/>
          <w:sz w:val="44"/>
          <w:szCs w:val="44"/>
        </w:rPr>
        <w:t>的通知</w:t>
      </w:r>
    </w:p>
    <w:p>
      <w:pPr>
        <w:ind w:firstLine="640" w:firstLineChars="200"/>
        <w:rPr>
          <w:rFonts w:hint="eastAsia" w:ascii="仿宋_GB2312" w:hAnsi="仿宋_GB2312" w:eastAsia="仿宋_GB2312" w:cs="仿宋_GB2312"/>
          <w:b w:val="0"/>
          <w:bCs w:val="0"/>
          <w:color w:val="000000"/>
          <w:sz w:val="32"/>
          <w:szCs w:val="32"/>
          <w:lang w:eastAsia="zh-CN"/>
        </w:rPr>
      </w:pPr>
    </w:p>
    <w:p>
      <w:pPr>
        <w:spacing w:before="435" w:beforeLines="100" w:line="600" w:lineRule="exact"/>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eastAsia="zh-CN"/>
        </w:rPr>
        <w:t>区（管委会）</w:t>
      </w:r>
      <w:r>
        <w:rPr>
          <w:rFonts w:hint="eastAsia" w:ascii="仿宋_GB2312" w:hAnsi="仿宋_GB2312" w:eastAsia="仿宋_GB2312" w:cs="仿宋_GB2312"/>
          <w:color w:val="000000"/>
          <w:sz w:val="32"/>
          <w:szCs w:val="32"/>
        </w:rPr>
        <w:t>农业农村局、发改委、财政局、商务局、海洋发展局、市政园林局、税务局、供销合作社联合社：</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lang w:eastAsia="zh-CN"/>
        </w:rPr>
        <w:t>根据《福建省农业农村厅等11部门关于印发&lt;福建省农业产业化省级重点龙头企业认定和运行监测管理办法&gt;的通知》（闽农综〔2019〕115号）和《厦门市农业产业化市级重点龙头企业认定和运行监测管理办法》（厦农〔2016〕178号）的相关要求</w:t>
      </w:r>
      <w:r>
        <w:rPr>
          <w:rFonts w:hint="eastAsia" w:ascii="仿宋_GB2312" w:hAnsi="仿宋_GB2312" w:eastAsia="仿宋_GB2312" w:cs="仿宋_GB2312"/>
          <w:sz w:val="32"/>
          <w:szCs w:val="32"/>
          <w:lang w:val="en-US" w:eastAsia="zh-CN"/>
        </w:rPr>
        <w:t>，结合我市实际，现将厦门市农业产业化市级重点龙头企业认定和运行监测管理办法印发给你们，</w:t>
      </w:r>
      <w:r>
        <w:rPr>
          <w:rFonts w:hint="eastAsia" w:ascii="仿宋_GB2312" w:hAnsi="仿宋_GB2312" w:eastAsia="仿宋_GB2312" w:cs="仿宋_GB2312"/>
          <w:color w:val="000000"/>
          <w:sz w:val="32"/>
          <w:szCs w:val="32"/>
        </w:rPr>
        <w:t>请遵照执行。</w:t>
      </w:r>
    </w:p>
    <w:p>
      <w:pPr>
        <w:spacing w:line="600" w:lineRule="exact"/>
        <w:ind w:firstLine="640" w:firstLineChars="200"/>
        <w:rPr>
          <w:rFonts w:hint="eastAsia" w:ascii="仿宋_GB2312" w:hAnsi="仿宋_GB2312" w:eastAsia="仿宋_GB2312" w:cs="仿宋_GB2312"/>
          <w:color w:val="000000"/>
          <w:sz w:val="32"/>
          <w:szCs w:val="32"/>
          <w:lang w:eastAsia="zh-CN"/>
        </w:rPr>
      </w:pPr>
    </w:p>
    <w:p>
      <w:pPr>
        <w:pStyle w:val="2"/>
        <w:rPr>
          <w:rFonts w:hint="eastAsia"/>
          <w:lang w:eastAsia="zh-CN"/>
        </w:rPr>
      </w:pP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厦门市农业农村局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厦门市发展和改革委员</w:t>
      </w:r>
      <w:bookmarkStart w:id="0" w:name="_GoBack"/>
      <w:bookmarkEnd w:id="0"/>
      <w:r>
        <w:rPr>
          <w:rFonts w:hint="eastAsia" w:ascii="仿宋_GB2312" w:hAnsi="仿宋_GB2312" w:eastAsia="仿宋_GB2312" w:cs="仿宋_GB2312"/>
          <w:sz w:val="32"/>
          <w:szCs w:val="32"/>
          <w:lang w:eastAsia="zh-CN"/>
        </w:rPr>
        <w:t>会</w:t>
      </w:r>
    </w:p>
    <w:p>
      <w:pPr>
        <w:pStyle w:val="2"/>
        <w:rPr>
          <w:rFonts w:hint="eastAsia"/>
          <w:lang w:eastAsia="zh-CN"/>
        </w:rPr>
      </w:pPr>
    </w:p>
    <w:p>
      <w:pPr>
        <w:pStyle w:val="3"/>
        <w:rPr>
          <w:rFonts w:hint="eastAsia"/>
          <w:lang w:eastAsia="zh-CN"/>
        </w:rPr>
      </w:pPr>
    </w:p>
    <w:p>
      <w:pPr>
        <w:rPr>
          <w:rFonts w:hint="eastAsia"/>
          <w:lang w:eastAsia="zh-CN"/>
        </w:rPr>
      </w:pPr>
    </w:p>
    <w:p>
      <w:pPr>
        <w:ind w:firstLine="640" w:firstLineChars="200"/>
        <w:rPr>
          <w:rFonts w:hint="eastAsia" w:ascii="仿宋_GB2312" w:hAnsi="仿宋_GB2312" w:eastAsia="仿宋_GB2312" w:cs="仿宋_GB2312"/>
          <w:sz w:val="32"/>
          <w:szCs w:val="32"/>
          <w:lang w:eastAsia="zh-CN"/>
        </w:rPr>
      </w:pPr>
    </w:p>
    <w:p>
      <w:pPr>
        <w:ind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厦门市财政局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厦门市商务局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厦门市海洋发展局</w:t>
      </w:r>
    </w:p>
    <w:p>
      <w:pPr>
        <w:pStyle w:val="2"/>
        <w:rPr>
          <w:rFonts w:hint="eastAsia"/>
          <w:lang w:eastAsia="zh-CN"/>
        </w:rPr>
      </w:pPr>
    </w:p>
    <w:p>
      <w:pPr>
        <w:pStyle w:val="3"/>
        <w:rPr>
          <w:rFonts w:hint="eastAsia"/>
          <w:lang w:eastAsia="zh-CN"/>
        </w:rPr>
      </w:pPr>
    </w:p>
    <w:p>
      <w:pPr>
        <w:rPr>
          <w:rFonts w:hint="eastAsia"/>
          <w:lang w:eastAsia="zh-CN"/>
        </w:rPr>
      </w:pP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厦门市市政园林局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厦门市金融监管局</w:t>
      </w:r>
    </w:p>
    <w:p>
      <w:pPr>
        <w:pStyle w:val="2"/>
        <w:rPr>
          <w:rFonts w:hint="eastAsia"/>
          <w:lang w:eastAsia="zh-CN"/>
        </w:rPr>
      </w:pPr>
    </w:p>
    <w:p>
      <w:pPr>
        <w:pStyle w:val="3"/>
        <w:rPr>
          <w:rFonts w:hint="eastAsia"/>
          <w:lang w:eastAsia="zh-CN"/>
        </w:rPr>
      </w:pPr>
    </w:p>
    <w:p>
      <w:pPr>
        <w:pStyle w:val="3"/>
        <w:rPr>
          <w:rFonts w:hint="eastAsia"/>
          <w:lang w:eastAsia="zh-CN"/>
        </w:rPr>
      </w:pPr>
    </w:p>
    <w:p>
      <w:pPr>
        <w:pStyle w:val="2"/>
        <w:rPr>
          <w:rFonts w:hint="eastAsia"/>
          <w:lang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厦门市税务局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人行厦门中心支行</w:t>
      </w:r>
      <w:r>
        <w:rPr>
          <w:rFonts w:hint="eastAsia" w:ascii="仿宋_GB2312" w:hAnsi="仿宋_GB2312" w:eastAsia="仿宋_GB2312" w:cs="仿宋_GB2312"/>
          <w:sz w:val="32"/>
          <w:szCs w:val="32"/>
          <w:lang w:val="en-US" w:eastAsia="zh-CN"/>
        </w:rPr>
        <w:t xml:space="preserve"> </w:t>
      </w:r>
    </w:p>
    <w:p>
      <w:pPr>
        <w:pStyle w:val="2"/>
        <w:rPr>
          <w:rFonts w:hint="eastAsia"/>
          <w:lang w:val="en-US" w:eastAsia="zh-CN"/>
        </w:rPr>
      </w:pPr>
    </w:p>
    <w:p>
      <w:pPr>
        <w:pStyle w:val="3"/>
        <w:rPr>
          <w:rFonts w:hint="eastAsia"/>
          <w:lang w:val="en-US" w:eastAsia="zh-CN"/>
        </w:rPr>
      </w:pPr>
    </w:p>
    <w:p>
      <w:pPr>
        <w:rPr>
          <w:rFonts w:hint="eastAsia"/>
          <w:lang w:val="en-US" w:eastAsia="zh-CN"/>
        </w:rPr>
      </w:pPr>
    </w:p>
    <w:p>
      <w:pPr>
        <w:ind w:left="638" w:leftChars="304" w:firstLine="0" w:firstLineChars="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厦门证监局</w:t>
      </w:r>
      <w:r>
        <w:rPr>
          <w:rFonts w:hint="eastAsia" w:ascii="仿宋_GB2312" w:hAnsi="仿宋_GB2312" w:eastAsia="仿宋_GB2312" w:cs="仿宋_GB2312"/>
          <w:sz w:val="32"/>
          <w:szCs w:val="32"/>
          <w:lang w:val="en-US" w:eastAsia="zh-CN"/>
        </w:rPr>
        <w:t xml:space="preserve">              厦门市供销合作社联合社</w:t>
      </w:r>
    </w:p>
    <w:p>
      <w:pPr>
        <w:pStyle w:val="2"/>
        <w:rPr>
          <w:rFonts w:hint="eastAsia"/>
          <w:lang w:eastAsia="zh-CN"/>
        </w:rPr>
      </w:pPr>
    </w:p>
    <w:p>
      <w:pPr>
        <w:ind w:firstLine="5120" w:firstLineChars="1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2021年1月5日</w:t>
      </w:r>
    </w:p>
    <w:p>
      <w:pPr>
        <w:pStyle w:val="2"/>
        <w:rPr>
          <w:rFonts w:hint="eastAsia"/>
          <w:lang w:val="en-US" w:eastAsia="zh-CN"/>
        </w:rPr>
      </w:pPr>
      <w:r>
        <w:rPr>
          <w:rFonts w:hint="eastAsia" w:hAnsi="仿宋_GB2312" w:cs="仿宋_GB2312"/>
          <w:sz w:val="32"/>
          <w:szCs w:val="32"/>
          <w:lang w:val="en-US" w:eastAsia="zh-CN"/>
        </w:rPr>
        <w:t>（此件主动公开）</w:t>
      </w:r>
    </w:p>
    <w:p>
      <w:pPr>
        <w:pStyle w:val="2"/>
        <w:rPr>
          <w:rFonts w:hint="eastAsia"/>
          <w:lang w:eastAsia="zh-CN"/>
        </w:rPr>
      </w:pPr>
    </w:p>
    <w:p>
      <w:pPr>
        <w:pStyle w:val="3"/>
        <w:rPr>
          <w:rFonts w:hint="eastAsia" w:ascii="黑体" w:hAnsi="黑体" w:eastAsia="黑体" w:cs="黑体"/>
          <w:b w:val="0"/>
          <w:bCs w:val="0"/>
          <w:sz w:val="32"/>
          <w:szCs w:val="32"/>
          <w:lang w:val="en-US" w:eastAsia="zh-CN"/>
        </w:rPr>
      </w:pPr>
    </w:p>
    <w:p>
      <w:pPr>
        <w:rPr>
          <w:rFonts w:hint="eastAsia"/>
          <w:lang w:val="en-US" w:eastAsia="zh-CN"/>
        </w:rPr>
      </w:pPr>
    </w:p>
    <w:p>
      <w:pPr>
        <w:pStyle w:val="2"/>
        <w:rPr>
          <w:rFonts w:hint="eastAsia"/>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lang w:eastAsia="zh-CN"/>
        </w:rPr>
        <w:t>厦门市</w:t>
      </w:r>
      <w:r>
        <w:rPr>
          <w:rFonts w:hint="eastAsia" w:ascii="方正小标宋简体" w:eastAsia="方正小标宋简体"/>
          <w:sz w:val="44"/>
          <w:szCs w:val="44"/>
        </w:rPr>
        <w:t>农业产业化</w:t>
      </w:r>
      <w:r>
        <w:rPr>
          <w:rFonts w:hint="eastAsia" w:ascii="方正小标宋简体" w:eastAsia="方正小标宋简体"/>
          <w:sz w:val="44"/>
          <w:szCs w:val="44"/>
          <w:lang w:eastAsia="zh-CN"/>
        </w:rPr>
        <w:t>市</w:t>
      </w:r>
      <w:r>
        <w:rPr>
          <w:rFonts w:hint="eastAsia" w:ascii="方正小标宋简体" w:eastAsia="方正小标宋简体"/>
          <w:sz w:val="44"/>
          <w:szCs w:val="44"/>
        </w:rPr>
        <w:t>级重点龙头企业</w:t>
      </w:r>
    </w:p>
    <w:p>
      <w:pPr>
        <w:keepNext w:val="0"/>
        <w:keepLines w:val="0"/>
        <w:pageBreakBefore w:val="0"/>
        <w:kinsoku/>
        <w:wordWrap/>
        <w:overflowPunct/>
        <w:topLinePunct w:val="0"/>
        <w:autoSpaceDE/>
        <w:autoSpaceDN/>
        <w:bidi w:val="0"/>
        <w:spacing w:line="560" w:lineRule="exact"/>
        <w:jc w:val="center"/>
        <w:rPr>
          <w:rFonts w:hint="eastAsia" w:ascii="方正小标宋简体" w:eastAsia="方正小标宋简体"/>
          <w:spacing w:val="-14"/>
          <w:sz w:val="44"/>
          <w:szCs w:val="44"/>
        </w:rPr>
      </w:pPr>
      <w:r>
        <w:rPr>
          <w:rFonts w:hint="eastAsia" w:ascii="方正小标宋简体" w:eastAsia="方正小标宋简体"/>
          <w:spacing w:val="-14"/>
          <w:sz w:val="44"/>
          <w:szCs w:val="44"/>
        </w:rPr>
        <w:t>认定和运行监测管理办法</w:t>
      </w:r>
    </w:p>
    <w:p>
      <w:pPr>
        <w:keepNext w:val="0"/>
        <w:keepLines w:val="0"/>
        <w:pageBreakBefore w:val="0"/>
        <w:kinsoku/>
        <w:wordWrap/>
        <w:overflowPunct/>
        <w:topLinePunct w:val="0"/>
        <w:autoSpaceDE/>
        <w:autoSpaceDN/>
        <w:bidi w:val="0"/>
        <w:spacing w:line="560" w:lineRule="exact"/>
        <w:rPr>
          <w:rFonts w:hint="eastAsia" w:ascii="仿宋_GB2312"/>
          <w:szCs w:val="32"/>
        </w:rPr>
      </w:pP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jc w:val="center"/>
        <w:rPr>
          <w:rFonts w:ascii="Times New Roman" w:hAnsi="Times New Roman" w:eastAsia="黑体" w:cs="Times New Roman"/>
          <w:color w:val="333333"/>
          <w:sz w:val="32"/>
          <w:szCs w:val="32"/>
          <w:lang w:bidi="ar-SA"/>
        </w:rPr>
      </w:pPr>
      <w:r>
        <w:rPr>
          <w:rFonts w:ascii="Times New Roman" w:hAnsi="Times New Roman" w:eastAsia="黑体" w:cs="Times New Roman"/>
          <w:color w:val="333333"/>
          <w:sz w:val="32"/>
          <w:szCs w:val="32"/>
          <w:lang w:bidi="ar-SA"/>
        </w:rPr>
        <w:t>第一章　总　　则</w:t>
      </w:r>
    </w:p>
    <w:p>
      <w:pPr>
        <w:keepNext w:val="0"/>
        <w:keepLines w:val="0"/>
        <w:pageBreakBefore w:val="0"/>
        <w:kinsoku/>
        <w:wordWrap/>
        <w:overflowPunct/>
        <w:topLinePunct w:val="0"/>
        <w:autoSpaceDE/>
        <w:autoSpaceDN/>
        <w:bidi w:val="0"/>
        <w:spacing w:line="560" w:lineRule="exact"/>
        <w:rPr>
          <w:rFonts w:hint="eastAsia" w:ascii="仿宋_GB2312"/>
          <w:szCs w:val="32"/>
        </w:rPr>
      </w:pPr>
    </w:p>
    <w:p>
      <w:pPr>
        <w:keepNext w:val="0"/>
        <w:keepLines w:val="0"/>
        <w:pageBreakBefore w:val="0"/>
        <w:kinsoku/>
        <w:wordWrap/>
        <w:overflowPunct/>
        <w:topLinePunct w:val="0"/>
        <w:autoSpaceDE/>
        <w:autoSpaceDN/>
        <w:bidi w:val="0"/>
        <w:spacing w:line="560" w:lineRule="exact"/>
        <w:ind w:firstLine="642" w:firstLineChars="200"/>
        <w:outlineLvl w:val="0"/>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为进一步规范</w:t>
      </w:r>
      <w:r>
        <w:rPr>
          <w:rFonts w:hint="eastAsia" w:ascii="仿宋" w:hAnsi="仿宋" w:eastAsia="仿宋" w:cs="仿宋"/>
          <w:sz w:val="32"/>
          <w:szCs w:val="32"/>
          <w:lang w:eastAsia="zh-CN"/>
        </w:rPr>
        <w:t>厦门市</w:t>
      </w:r>
      <w:r>
        <w:rPr>
          <w:rFonts w:hint="eastAsia" w:ascii="仿宋" w:hAnsi="仿宋" w:eastAsia="仿宋" w:cs="仿宋"/>
          <w:sz w:val="32"/>
          <w:szCs w:val="32"/>
        </w:rPr>
        <w:t>农业产业化</w:t>
      </w:r>
      <w:r>
        <w:rPr>
          <w:rFonts w:hint="eastAsia" w:ascii="仿宋" w:hAnsi="仿宋" w:eastAsia="仿宋" w:cs="仿宋"/>
          <w:sz w:val="32"/>
          <w:szCs w:val="32"/>
          <w:lang w:eastAsia="zh-CN"/>
        </w:rPr>
        <w:t>市</w:t>
      </w:r>
      <w:r>
        <w:rPr>
          <w:rFonts w:hint="eastAsia" w:ascii="仿宋" w:hAnsi="仿宋" w:eastAsia="仿宋" w:cs="仿宋"/>
          <w:sz w:val="32"/>
          <w:szCs w:val="32"/>
        </w:rPr>
        <w:t>级重点龙头企业（以下简称“</w:t>
      </w:r>
      <w:r>
        <w:rPr>
          <w:rFonts w:hint="eastAsia" w:ascii="仿宋" w:hAnsi="仿宋" w:eastAsia="仿宋" w:cs="仿宋"/>
          <w:sz w:val="32"/>
          <w:szCs w:val="32"/>
          <w:lang w:eastAsia="zh-CN"/>
        </w:rPr>
        <w:t>市</w:t>
      </w:r>
      <w:r>
        <w:rPr>
          <w:rFonts w:hint="eastAsia" w:ascii="仿宋" w:hAnsi="仿宋" w:eastAsia="仿宋" w:cs="仿宋"/>
          <w:sz w:val="32"/>
          <w:szCs w:val="32"/>
        </w:rPr>
        <w:t>级重点龙头企业”）的认定和运行监测工作，加强对</w:t>
      </w:r>
      <w:r>
        <w:rPr>
          <w:rFonts w:hint="eastAsia" w:ascii="仿宋" w:hAnsi="仿宋" w:eastAsia="仿宋" w:cs="仿宋"/>
          <w:sz w:val="32"/>
          <w:szCs w:val="32"/>
          <w:lang w:eastAsia="zh-CN"/>
        </w:rPr>
        <w:t>市</w:t>
      </w:r>
      <w:r>
        <w:rPr>
          <w:rFonts w:hint="eastAsia" w:ascii="仿宋" w:hAnsi="仿宋" w:eastAsia="仿宋" w:cs="仿宋"/>
          <w:sz w:val="32"/>
          <w:szCs w:val="32"/>
        </w:rPr>
        <w:t>级重点龙头企业的服务和扶持，培育壮大</w:t>
      </w:r>
      <w:r>
        <w:rPr>
          <w:rFonts w:hint="eastAsia" w:ascii="仿宋" w:hAnsi="仿宋" w:eastAsia="仿宋" w:cs="仿宋"/>
          <w:sz w:val="32"/>
          <w:szCs w:val="32"/>
          <w:lang w:eastAsia="zh-CN"/>
        </w:rPr>
        <w:t>我市</w:t>
      </w:r>
      <w:r>
        <w:rPr>
          <w:rFonts w:hint="eastAsia" w:ascii="仿宋" w:hAnsi="仿宋" w:eastAsia="仿宋" w:cs="仿宋"/>
          <w:sz w:val="32"/>
          <w:szCs w:val="32"/>
        </w:rPr>
        <w:t>龙头企业，增强</w:t>
      </w:r>
      <w:r>
        <w:rPr>
          <w:rFonts w:hint="eastAsia" w:ascii="仿宋" w:hAnsi="仿宋" w:eastAsia="仿宋" w:cs="仿宋"/>
          <w:sz w:val="32"/>
          <w:szCs w:val="32"/>
          <w:lang w:eastAsia="zh-CN"/>
        </w:rPr>
        <w:t>其</w:t>
      </w:r>
      <w:r>
        <w:rPr>
          <w:rFonts w:hint="eastAsia" w:ascii="仿宋" w:hAnsi="仿宋" w:eastAsia="仿宋" w:cs="仿宋"/>
          <w:sz w:val="32"/>
          <w:szCs w:val="32"/>
        </w:rPr>
        <w:t>辐射带动能力，特制定本办法。</w:t>
      </w:r>
    </w:p>
    <w:p>
      <w:pPr>
        <w:keepNext w:val="0"/>
        <w:keepLines w:val="0"/>
        <w:pageBreakBefore w:val="0"/>
        <w:kinsoku/>
        <w:wordWrap/>
        <w:overflowPunct/>
        <w:topLinePunct w:val="0"/>
        <w:autoSpaceDE/>
        <w:autoSpaceDN/>
        <w:bidi w:val="0"/>
        <w:spacing w:line="560" w:lineRule="exact"/>
        <w:ind w:firstLine="642" w:firstLineChars="200"/>
        <w:outlineLvl w:val="0"/>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w:t>
      </w:r>
      <w:r>
        <w:rPr>
          <w:rFonts w:hint="eastAsia" w:ascii="仿宋" w:hAnsi="仿宋" w:eastAsia="仿宋" w:cs="仿宋"/>
          <w:sz w:val="32"/>
          <w:szCs w:val="32"/>
          <w:lang w:eastAsia="zh-CN"/>
        </w:rPr>
        <w:t>市</w:t>
      </w:r>
      <w:r>
        <w:rPr>
          <w:rFonts w:hint="eastAsia" w:ascii="仿宋" w:hAnsi="仿宋" w:eastAsia="仿宋" w:cs="仿宋"/>
          <w:sz w:val="32"/>
          <w:szCs w:val="32"/>
        </w:rPr>
        <w:t>级重点龙头企业是指以农产品生产、加工或流通为主业，通过合同、合作、股份合作等利益联结方式直接与农户紧密联系，使农产品生产、加工、销售有机结合、相互促进，在规模和经营指标上达到规定标准并经</w:t>
      </w:r>
      <w:r>
        <w:rPr>
          <w:rFonts w:hint="eastAsia" w:ascii="仿宋" w:hAnsi="仿宋" w:eastAsia="仿宋" w:cs="仿宋"/>
          <w:sz w:val="32"/>
          <w:szCs w:val="32"/>
          <w:lang w:eastAsia="zh-CN"/>
        </w:rPr>
        <w:t>市</w:t>
      </w:r>
      <w:r>
        <w:rPr>
          <w:rFonts w:hint="eastAsia" w:ascii="仿宋" w:hAnsi="仿宋" w:eastAsia="仿宋" w:cs="仿宋"/>
          <w:sz w:val="32"/>
          <w:szCs w:val="32"/>
        </w:rPr>
        <w:t>农业产业化</w:t>
      </w:r>
      <w:r>
        <w:rPr>
          <w:rFonts w:hint="eastAsia" w:ascii="仿宋" w:hAnsi="仿宋" w:eastAsia="仿宋" w:cs="仿宋"/>
          <w:sz w:val="32"/>
          <w:szCs w:val="32"/>
          <w:lang w:eastAsia="zh-CN"/>
        </w:rPr>
        <w:t>工作领导小组</w:t>
      </w:r>
      <w:r>
        <w:rPr>
          <w:rFonts w:hint="eastAsia" w:ascii="仿宋" w:hAnsi="仿宋" w:eastAsia="仿宋" w:cs="仿宋"/>
          <w:sz w:val="32"/>
          <w:szCs w:val="32"/>
        </w:rPr>
        <w:t>审定、</w:t>
      </w:r>
      <w:r>
        <w:rPr>
          <w:rFonts w:hint="eastAsia" w:ascii="仿宋" w:hAnsi="仿宋" w:eastAsia="仿宋" w:cs="仿宋"/>
          <w:sz w:val="32"/>
          <w:szCs w:val="32"/>
          <w:lang w:eastAsia="zh-CN"/>
        </w:rPr>
        <w:t>市</w:t>
      </w:r>
      <w:r>
        <w:rPr>
          <w:rFonts w:hint="eastAsia" w:ascii="仿宋" w:hAnsi="仿宋" w:eastAsia="仿宋" w:cs="仿宋"/>
          <w:sz w:val="32"/>
          <w:szCs w:val="32"/>
        </w:rPr>
        <w:t>政府批准后认定的农业企业。</w:t>
      </w:r>
    </w:p>
    <w:p>
      <w:pPr>
        <w:keepNext w:val="0"/>
        <w:keepLines w:val="0"/>
        <w:pageBreakBefore w:val="0"/>
        <w:kinsoku/>
        <w:wordWrap/>
        <w:overflowPunct/>
        <w:topLinePunct w:val="0"/>
        <w:autoSpaceDE/>
        <w:autoSpaceDN/>
        <w:bidi w:val="0"/>
        <w:spacing w:line="560" w:lineRule="exact"/>
        <w:ind w:firstLine="642" w:firstLineChars="200"/>
        <w:outlineLvl w:val="0"/>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对</w:t>
      </w:r>
      <w:r>
        <w:rPr>
          <w:rFonts w:hint="eastAsia" w:ascii="仿宋" w:hAnsi="仿宋" w:eastAsia="仿宋" w:cs="仿宋"/>
          <w:sz w:val="32"/>
          <w:szCs w:val="32"/>
          <w:lang w:eastAsia="zh-CN"/>
        </w:rPr>
        <w:t>市</w:t>
      </w:r>
      <w:r>
        <w:rPr>
          <w:rFonts w:hint="eastAsia" w:ascii="仿宋" w:hAnsi="仿宋" w:eastAsia="仿宋" w:cs="仿宋"/>
          <w:sz w:val="32"/>
          <w:szCs w:val="32"/>
        </w:rPr>
        <w:t>级重点龙头企业的认定和运行监测工作遵循市场经济规律，引进竞争淘汰机制，发挥中介组织和专家的作用，坚持公开、公平、公正原则，不干预企业经营自主权。</w:t>
      </w:r>
    </w:p>
    <w:p>
      <w:pPr>
        <w:keepNext w:val="0"/>
        <w:keepLines w:val="0"/>
        <w:pageBreakBefore w:val="0"/>
        <w:kinsoku/>
        <w:wordWrap/>
        <w:overflowPunct/>
        <w:topLinePunct w:val="0"/>
        <w:autoSpaceDE/>
        <w:autoSpaceDN/>
        <w:bidi w:val="0"/>
        <w:spacing w:line="560" w:lineRule="exact"/>
        <w:ind w:firstLine="642" w:firstLineChars="200"/>
        <w:outlineLvl w:val="0"/>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申报或已获</w:t>
      </w:r>
      <w:r>
        <w:rPr>
          <w:rFonts w:hint="eastAsia" w:ascii="仿宋" w:hAnsi="仿宋" w:eastAsia="仿宋" w:cs="仿宋"/>
          <w:sz w:val="32"/>
          <w:szCs w:val="32"/>
          <w:lang w:eastAsia="zh-CN"/>
        </w:rPr>
        <w:t>市</w:t>
      </w:r>
      <w:r>
        <w:rPr>
          <w:rFonts w:hint="eastAsia" w:ascii="仿宋" w:hAnsi="仿宋" w:eastAsia="仿宋" w:cs="仿宋"/>
          <w:sz w:val="32"/>
          <w:szCs w:val="32"/>
        </w:rPr>
        <w:t>级重点龙头企业的企业，适用本办法。</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jc w:val="center"/>
        <w:rPr>
          <w:rFonts w:hint="eastAsia" w:ascii="仿宋" w:hAnsi="仿宋" w:eastAsia="仿宋" w:cs="仿宋"/>
          <w:color w:val="333333"/>
          <w:sz w:val="32"/>
          <w:szCs w:val="32"/>
          <w:lang w:bidi="ar-SA"/>
        </w:rPr>
      </w:pP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jc w:val="center"/>
        <w:rPr>
          <w:rFonts w:hint="eastAsia" w:ascii="黑体" w:hAnsi="黑体" w:eastAsia="黑体" w:cs="黑体"/>
          <w:color w:val="333333"/>
          <w:sz w:val="32"/>
          <w:szCs w:val="32"/>
          <w:lang w:bidi="ar-SA"/>
        </w:rPr>
      </w:pPr>
      <w:r>
        <w:rPr>
          <w:rFonts w:hint="eastAsia" w:ascii="黑体" w:hAnsi="黑体" w:eastAsia="黑体" w:cs="黑体"/>
          <w:color w:val="333333"/>
          <w:sz w:val="32"/>
          <w:szCs w:val="32"/>
          <w:lang w:bidi="ar-SA"/>
        </w:rPr>
        <w:t>第二章　申    报</w:t>
      </w:r>
    </w:p>
    <w:p>
      <w:pPr>
        <w:pStyle w:val="4"/>
        <w:keepNext w:val="0"/>
        <w:keepLines w:val="0"/>
        <w:pageBreakBefore w:val="0"/>
        <w:kinsoku/>
        <w:wordWrap/>
        <w:overflowPunct/>
        <w:topLinePunct w:val="0"/>
        <w:autoSpaceDE/>
        <w:autoSpaceDN/>
        <w:bidi w:val="0"/>
        <w:spacing w:line="56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第五条　申报企业应符合以下基本标准。</w:t>
      </w:r>
    </w:p>
    <w:p>
      <w:pPr>
        <w:keepNext w:val="0"/>
        <w:keepLines w:val="0"/>
        <w:pageBreakBefore w:val="0"/>
        <w:kinsoku/>
        <w:wordWrap/>
        <w:overflowPunct/>
        <w:topLinePunct w:val="0"/>
        <w:autoSpaceDE/>
        <w:autoSpaceDN/>
        <w:bidi w:val="0"/>
        <w:spacing w:line="560" w:lineRule="exact"/>
        <w:ind w:firstLine="642" w:firstLineChars="200"/>
        <w:rPr>
          <w:rFonts w:hint="eastAsia" w:ascii="仿宋" w:hAnsi="仿宋" w:eastAsia="仿宋" w:cs="仿宋"/>
          <w:sz w:val="32"/>
          <w:szCs w:val="32"/>
        </w:rPr>
      </w:pPr>
      <w:r>
        <w:rPr>
          <w:rFonts w:hint="eastAsia" w:ascii="仿宋" w:hAnsi="仿宋" w:eastAsia="仿宋" w:cs="仿宋"/>
          <w:b/>
          <w:bCs/>
          <w:sz w:val="32"/>
          <w:szCs w:val="32"/>
        </w:rPr>
        <w:t>1.组织形式</w:t>
      </w:r>
      <w:r>
        <w:rPr>
          <w:rFonts w:hint="eastAsia" w:ascii="仿宋" w:hAnsi="仿宋" w:eastAsia="仿宋" w:cs="仿宋"/>
          <w:sz w:val="32"/>
          <w:szCs w:val="32"/>
        </w:rPr>
        <w:t>。在</w:t>
      </w:r>
      <w:r>
        <w:rPr>
          <w:rFonts w:hint="eastAsia" w:ascii="仿宋" w:hAnsi="仿宋" w:eastAsia="仿宋" w:cs="仿宋"/>
          <w:sz w:val="32"/>
          <w:szCs w:val="32"/>
          <w:lang w:eastAsia="zh-CN"/>
        </w:rPr>
        <w:t>厦门市</w:t>
      </w:r>
      <w:r>
        <w:rPr>
          <w:rFonts w:hint="eastAsia" w:ascii="仿宋" w:hAnsi="仿宋" w:eastAsia="仿宋" w:cs="仿宋"/>
          <w:sz w:val="32"/>
          <w:szCs w:val="32"/>
        </w:rPr>
        <w:t>行政区域内依法设立的以农产品生产、加工、流通为主业、具有独立法人资格且正常经营2年以上的企业。包括依照《公司法》设立的公司，其他形式的国有、集体、私营企业以及中外合资经营、中外合作经营、外商独资企业，直接在市场监督管理部门注册登记的农产品专业批发市场等。</w:t>
      </w:r>
    </w:p>
    <w:p>
      <w:pPr>
        <w:keepNext w:val="0"/>
        <w:keepLines w:val="0"/>
        <w:pageBreakBefore w:val="0"/>
        <w:kinsoku/>
        <w:wordWrap/>
        <w:overflowPunct/>
        <w:topLinePunct w:val="0"/>
        <w:autoSpaceDE/>
        <w:autoSpaceDN/>
        <w:bidi w:val="0"/>
        <w:spacing w:line="560" w:lineRule="exact"/>
        <w:ind w:left="0" w:firstLine="642" w:firstLineChars="200"/>
        <w:rPr>
          <w:rFonts w:hint="eastAsia" w:ascii="仿宋" w:hAnsi="仿宋" w:eastAsia="仿宋" w:cs="仿宋"/>
          <w:sz w:val="32"/>
          <w:szCs w:val="32"/>
        </w:rPr>
      </w:pPr>
      <w:r>
        <w:rPr>
          <w:rFonts w:hint="eastAsia" w:ascii="仿宋" w:hAnsi="仿宋" w:eastAsia="仿宋" w:cs="仿宋"/>
          <w:b/>
          <w:bCs/>
          <w:sz w:val="32"/>
          <w:szCs w:val="32"/>
        </w:rPr>
        <w:t>2.经营产品。</w:t>
      </w:r>
      <w:r>
        <w:rPr>
          <w:rFonts w:hint="eastAsia" w:ascii="仿宋" w:hAnsi="仿宋" w:eastAsia="仿宋" w:cs="仿宋"/>
          <w:bCs/>
          <w:sz w:val="32"/>
          <w:szCs w:val="32"/>
        </w:rPr>
        <w:t>企业中</w:t>
      </w:r>
      <w:r>
        <w:rPr>
          <w:rFonts w:hint="eastAsia" w:ascii="仿宋" w:hAnsi="仿宋" w:eastAsia="仿宋" w:cs="仿宋"/>
          <w:sz w:val="32"/>
          <w:szCs w:val="32"/>
        </w:rPr>
        <w:t>农产品生产、加工、流通的销售收入（交易额）占总销售收入（交易额）的70％以上。对农产品销售收入（交易额）超过10亿元的企业可适当放宽占比要求。</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firstLine="642" w:firstLineChars="200"/>
        <w:jc w:val="both"/>
        <w:rPr>
          <w:rFonts w:hint="eastAsia" w:ascii="仿宋" w:hAnsi="仿宋" w:eastAsia="仿宋" w:cs="仿宋"/>
          <w:sz w:val="32"/>
          <w:szCs w:val="32"/>
        </w:rPr>
      </w:pPr>
      <w:r>
        <w:rPr>
          <w:rFonts w:hint="eastAsia" w:ascii="仿宋" w:hAnsi="仿宋" w:eastAsia="仿宋" w:cs="仿宋"/>
          <w:b/>
          <w:bCs/>
          <w:kern w:val="2"/>
          <w:sz w:val="32"/>
          <w:szCs w:val="32"/>
        </w:rPr>
        <w:t>3.</w:t>
      </w:r>
      <w:r>
        <w:rPr>
          <w:rFonts w:hint="eastAsia" w:ascii="仿宋" w:hAnsi="仿宋" w:eastAsia="仿宋" w:cs="仿宋"/>
          <w:b/>
          <w:bCs/>
          <w:kern w:val="2"/>
          <w:sz w:val="32"/>
          <w:szCs w:val="32"/>
          <w:lang w:eastAsia="zh-CN"/>
        </w:rPr>
        <w:t>经营</w:t>
      </w:r>
      <w:r>
        <w:rPr>
          <w:rFonts w:hint="eastAsia" w:ascii="仿宋" w:hAnsi="仿宋" w:eastAsia="仿宋" w:cs="仿宋"/>
          <w:b/>
          <w:bCs/>
          <w:kern w:val="2"/>
          <w:sz w:val="32"/>
          <w:szCs w:val="32"/>
        </w:rPr>
        <w:t>规模。</w:t>
      </w:r>
      <w:r>
        <w:rPr>
          <w:rFonts w:hint="eastAsia" w:ascii="仿宋" w:hAnsi="仿宋" w:eastAsia="仿宋" w:cs="仿宋"/>
          <w:b w:val="0"/>
          <w:bCs w:val="0"/>
          <w:kern w:val="2"/>
          <w:sz w:val="32"/>
          <w:szCs w:val="32"/>
          <w:lang w:eastAsia="zh-CN"/>
        </w:rPr>
        <w:t>企业上年的</w:t>
      </w:r>
      <w:r>
        <w:rPr>
          <w:rFonts w:hint="eastAsia" w:ascii="仿宋" w:hAnsi="仿宋" w:eastAsia="仿宋" w:cs="仿宋"/>
          <w:kern w:val="2"/>
          <w:sz w:val="32"/>
          <w:szCs w:val="32"/>
          <w:lang w:bidi="ar-SA"/>
        </w:rPr>
        <w:t>总资产规模</w:t>
      </w:r>
      <w:r>
        <w:rPr>
          <w:rFonts w:hint="eastAsia" w:ascii="仿宋" w:hAnsi="仿宋" w:eastAsia="仿宋" w:cs="仿宋"/>
          <w:kern w:val="2"/>
          <w:sz w:val="32"/>
          <w:szCs w:val="32"/>
          <w:lang w:eastAsia="zh-CN" w:bidi="ar-SA"/>
        </w:rPr>
        <w:t>、</w:t>
      </w:r>
      <w:r>
        <w:rPr>
          <w:rFonts w:hint="eastAsia" w:ascii="仿宋" w:hAnsi="仿宋" w:eastAsia="仿宋" w:cs="仿宋"/>
          <w:kern w:val="2"/>
          <w:sz w:val="32"/>
          <w:szCs w:val="32"/>
          <w:lang w:bidi="ar-SA"/>
        </w:rPr>
        <w:t>固定资产规模</w:t>
      </w:r>
      <w:r>
        <w:rPr>
          <w:rFonts w:hint="eastAsia" w:ascii="仿宋" w:hAnsi="仿宋" w:eastAsia="仿宋" w:cs="仿宋"/>
          <w:kern w:val="2"/>
          <w:sz w:val="32"/>
          <w:szCs w:val="32"/>
          <w:lang w:eastAsia="zh-CN" w:bidi="ar-SA"/>
        </w:rPr>
        <w:t>、</w:t>
      </w:r>
      <w:r>
        <w:rPr>
          <w:rFonts w:hint="eastAsia" w:ascii="仿宋" w:hAnsi="仿宋" w:eastAsia="仿宋" w:cs="仿宋"/>
          <w:kern w:val="2"/>
          <w:sz w:val="32"/>
          <w:szCs w:val="32"/>
          <w:lang w:bidi="ar-SA"/>
        </w:rPr>
        <w:t>年销售收入</w:t>
      </w:r>
      <w:r>
        <w:rPr>
          <w:rFonts w:hint="eastAsia" w:ascii="仿宋" w:hAnsi="仿宋" w:eastAsia="仿宋" w:cs="仿宋"/>
          <w:kern w:val="2"/>
          <w:sz w:val="32"/>
          <w:szCs w:val="32"/>
          <w:lang w:eastAsia="zh-CN" w:bidi="ar-SA"/>
        </w:rPr>
        <w:t>达到规定标准（各行业具体申报标准详见附表</w:t>
      </w:r>
      <w:r>
        <w:rPr>
          <w:rFonts w:hint="eastAsia" w:ascii="仿宋" w:hAnsi="仿宋" w:eastAsia="仿宋" w:cs="仿宋"/>
          <w:kern w:val="2"/>
          <w:sz w:val="32"/>
          <w:szCs w:val="32"/>
          <w:lang w:val="en-US" w:eastAsia="zh-CN" w:bidi="ar-SA"/>
        </w:rPr>
        <w:t>1）</w:t>
      </w:r>
      <w:r>
        <w:rPr>
          <w:rFonts w:hint="eastAsia" w:ascii="仿宋" w:hAnsi="仿宋" w:eastAsia="仿宋" w:cs="仿宋"/>
          <w:kern w:val="2"/>
          <w:sz w:val="32"/>
          <w:szCs w:val="32"/>
          <w:lang w:bidi="ar-SA"/>
        </w:rPr>
        <w:t>。</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firstLine="642" w:firstLineChars="200"/>
        <w:jc w:val="both"/>
        <w:rPr>
          <w:rFonts w:hint="eastAsia" w:ascii="仿宋" w:hAnsi="仿宋" w:eastAsia="仿宋" w:cs="仿宋"/>
          <w:kern w:val="2"/>
          <w:sz w:val="32"/>
          <w:szCs w:val="32"/>
          <w:lang w:bidi="ar-SA"/>
        </w:rPr>
      </w:pPr>
      <w:r>
        <w:rPr>
          <w:rFonts w:hint="eastAsia" w:ascii="仿宋" w:hAnsi="仿宋" w:eastAsia="仿宋" w:cs="仿宋"/>
          <w:b/>
          <w:bCs/>
          <w:kern w:val="2"/>
          <w:sz w:val="32"/>
          <w:szCs w:val="32"/>
          <w:lang w:val="en-US" w:eastAsia="zh-CN" w:bidi="ar-SA"/>
        </w:rPr>
        <w:t>4</w:t>
      </w:r>
      <w:r>
        <w:rPr>
          <w:rFonts w:hint="eastAsia" w:ascii="仿宋" w:hAnsi="仿宋" w:eastAsia="仿宋" w:cs="仿宋"/>
          <w:b/>
          <w:bCs/>
          <w:kern w:val="2"/>
          <w:sz w:val="32"/>
          <w:szCs w:val="32"/>
          <w:lang w:bidi="ar-SA"/>
        </w:rPr>
        <w:t>.企业效益</w:t>
      </w:r>
      <w:r>
        <w:rPr>
          <w:rFonts w:hint="eastAsia" w:ascii="仿宋" w:hAnsi="仿宋" w:eastAsia="仿宋" w:cs="仿宋"/>
          <w:color w:val="auto"/>
          <w:sz w:val="32"/>
          <w:szCs w:val="32"/>
          <w:lang w:bidi="ar-SA"/>
        </w:rPr>
        <w:t>。</w:t>
      </w:r>
      <w:r>
        <w:rPr>
          <w:rFonts w:hint="eastAsia" w:ascii="仿宋" w:hAnsi="仿宋" w:eastAsia="仿宋" w:cs="仿宋"/>
          <w:kern w:val="2"/>
          <w:sz w:val="32"/>
          <w:szCs w:val="32"/>
          <w:lang w:bidi="ar-SA"/>
        </w:rPr>
        <w:t>企业的总资产报酬率应高于现行</w:t>
      </w:r>
      <w:r>
        <w:rPr>
          <w:rFonts w:hint="eastAsia" w:ascii="仿宋" w:hAnsi="仿宋" w:eastAsia="仿宋" w:cs="仿宋"/>
          <w:b w:val="0"/>
          <w:bCs w:val="0"/>
          <w:kern w:val="2"/>
          <w:sz w:val="32"/>
          <w:szCs w:val="32"/>
          <w:lang w:bidi="ar-SA"/>
        </w:rPr>
        <w:t>中国人民银行授权全国银行间同业拆借中心公布的一年期贷款市场报价利率</w:t>
      </w:r>
      <w:r>
        <w:rPr>
          <w:rFonts w:hint="eastAsia" w:ascii="仿宋" w:hAnsi="仿宋" w:eastAsia="仿宋" w:cs="仿宋"/>
          <w:b w:val="0"/>
          <w:bCs w:val="0"/>
          <w:kern w:val="2"/>
          <w:sz w:val="32"/>
          <w:szCs w:val="32"/>
          <w:lang w:eastAsia="zh-CN" w:bidi="ar-SA"/>
        </w:rPr>
        <w:t>（申报通知下达前一个月）</w:t>
      </w:r>
      <w:r>
        <w:rPr>
          <w:rFonts w:hint="eastAsia" w:ascii="仿宋" w:hAnsi="仿宋" w:eastAsia="仿宋" w:cs="仿宋"/>
          <w:b w:val="0"/>
          <w:bCs w:val="0"/>
          <w:kern w:val="2"/>
          <w:sz w:val="32"/>
          <w:szCs w:val="32"/>
          <w:lang w:bidi="ar-SA"/>
        </w:rPr>
        <w:t>；</w:t>
      </w:r>
      <w:r>
        <w:rPr>
          <w:rFonts w:hint="eastAsia" w:ascii="仿宋" w:hAnsi="仿宋" w:eastAsia="仿宋" w:cs="仿宋"/>
          <w:kern w:val="2"/>
          <w:sz w:val="32"/>
          <w:szCs w:val="32"/>
          <w:lang w:bidi="ar-SA"/>
        </w:rPr>
        <w:t>企业诚信守法经营，应按时发放工资、按时缴纳社会保险、按月计提固定资产折旧，无重大涉税违法行为，产销率</w:t>
      </w:r>
      <w:r>
        <w:rPr>
          <w:rFonts w:hint="eastAsia" w:ascii="仿宋" w:hAnsi="仿宋" w:eastAsia="仿宋" w:cs="仿宋"/>
          <w:kern w:val="2"/>
          <w:sz w:val="32"/>
          <w:szCs w:val="32"/>
          <w:lang w:eastAsia="zh-CN" w:bidi="ar-SA"/>
        </w:rPr>
        <w:t>一般应</w:t>
      </w:r>
      <w:r>
        <w:rPr>
          <w:rFonts w:hint="eastAsia" w:ascii="仿宋" w:hAnsi="仿宋" w:eastAsia="仿宋" w:cs="仿宋"/>
          <w:kern w:val="2"/>
          <w:sz w:val="32"/>
          <w:szCs w:val="32"/>
          <w:lang w:bidi="ar-SA"/>
        </w:rPr>
        <w:t>达</w:t>
      </w:r>
      <w:r>
        <w:rPr>
          <w:rFonts w:hint="eastAsia" w:ascii="仿宋" w:hAnsi="仿宋" w:eastAsia="仿宋" w:cs="仿宋"/>
          <w:kern w:val="2"/>
          <w:sz w:val="32"/>
          <w:szCs w:val="32"/>
          <w:lang w:eastAsia="zh-CN" w:bidi="ar-SA"/>
        </w:rPr>
        <w:t>到</w:t>
      </w:r>
      <w:r>
        <w:rPr>
          <w:rFonts w:hint="eastAsia" w:ascii="仿宋" w:hAnsi="仿宋" w:eastAsia="仿宋" w:cs="仿宋"/>
          <w:kern w:val="2"/>
          <w:sz w:val="32"/>
          <w:szCs w:val="32"/>
          <w:lang w:bidi="ar-SA"/>
        </w:rPr>
        <w:t>90%以上。</w:t>
      </w:r>
    </w:p>
    <w:p>
      <w:pPr>
        <w:pStyle w:val="4"/>
        <w:keepNext w:val="0"/>
        <w:keepLines w:val="0"/>
        <w:pageBreakBefore w:val="0"/>
        <w:shd w:val="clear" w:color="auto" w:fill="FFFFFF"/>
        <w:kinsoku/>
        <w:wordWrap/>
        <w:overflowPunct/>
        <w:topLinePunct w:val="0"/>
        <w:autoSpaceDE/>
        <w:autoSpaceDN/>
        <w:bidi w:val="0"/>
        <w:spacing w:line="560" w:lineRule="exact"/>
        <w:ind w:left="0" w:firstLine="642" w:firstLineChars="200"/>
        <w:jc w:val="both"/>
        <w:rPr>
          <w:rFonts w:hint="eastAsia" w:ascii="仿宋" w:hAnsi="仿宋" w:eastAsia="仿宋" w:cs="仿宋"/>
          <w:color w:val="auto"/>
          <w:kern w:val="0"/>
          <w:sz w:val="32"/>
          <w:szCs w:val="32"/>
          <w:lang w:bidi="ar-SA"/>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.负债与信用。</w:t>
      </w:r>
      <w:r>
        <w:rPr>
          <w:rFonts w:hint="eastAsia" w:ascii="仿宋" w:hAnsi="仿宋" w:eastAsia="仿宋" w:cs="仿宋"/>
          <w:sz w:val="32"/>
          <w:szCs w:val="32"/>
          <w:lang w:bidi="ar-SA"/>
        </w:rPr>
        <w:t>企业资产负债率一般应低于60%；有银行贷款的企业，近2年内不得有不良信用记录。</w:t>
      </w:r>
    </w:p>
    <w:p>
      <w:pPr>
        <w:keepNext w:val="0"/>
        <w:keepLines w:val="0"/>
        <w:pageBreakBefore w:val="0"/>
        <w:kinsoku/>
        <w:wordWrap/>
        <w:overflowPunct/>
        <w:topLinePunct w:val="0"/>
        <w:autoSpaceDE/>
        <w:autoSpaceDN/>
        <w:bidi w:val="0"/>
        <w:spacing w:line="560" w:lineRule="exact"/>
        <w:ind w:left="0" w:firstLine="642" w:firstLineChars="200"/>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.带动能力。</w:t>
      </w:r>
      <w:r>
        <w:rPr>
          <w:rFonts w:hint="eastAsia" w:ascii="仿宋" w:hAnsi="仿宋" w:eastAsia="仿宋" w:cs="仿宋"/>
          <w:sz w:val="32"/>
          <w:szCs w:val="32"/>
        </w:rPr>
        <w:t>鼓励龙头企业通过带动农民专业合作社、家庭农场等方式带动农户发展。</w:t>
      </w:r>
      <w:r>
        <w:rPr>
          <w:rFonts w:hint="eastAsia" w:ascii="仿宋" w:hAnsi="仿宋" w:eastAsia="仿宋" w:cs="仿宋"/>
          <w:sz w:val="32"/>
          <w:szCs w:val="32"/>
          <w:lang w:eastAsia="zh-CN"/>
        </w:rPr>
        <w:t>至少符合下列其中一种情况：</w:t>
      </w:r>
    </w:p>
    <w:p>
      <w:pPr>
        <w:keepNext w:val="0"/>
        <w:keepLines w:val="0"/>
        <w:pageBreakBefore w:val="0"/>
        <w:kinsoku/>
        <w:wordWrap/>
        <w:overflowPunct/>
        <w:topLinePunct w:val="0"/>
        <w:autoSpaceDE/>
        <w:autoSpaceDN/>
        <w:bidi w:val="0"/>
        <w:spacing w:line="560" w:lineRule="exact"/>
        <w:ind w:left="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企业</w:t>
      </w:r>
      <w:r>
        <w:rPr>
          <w:rFonts w:hint="eastAsia" w:ascii="仿宋" w:hAnsi="仿宋" w:eastAsia="仿宋" w:cs="仿宋"/>
          <w:sz w:val="32"/>
          <w:szCs w:val="32"/>
        </w:rPr>
        <w:t>通过合同、合作、股份合作或其它方式带动农户的数量达到1</w:t>
      </w:r>
      <w:r>
        <w:rPr>
          <w:rFonts w:hint="eastAsia" w:ascii="仿宋" w:hAnsi="仿宋" w:eastAsia="仿宋" w:cs="仿宋"/>
          <w:sz w:val="32"/>
          <w:szCs w:val="32"/>
          <w:lang w:val="en-US" w:eastAsia="zh-CN"/>
        </w:rPr>
        <w:t>0</w:t>
      </w:r>
      <w:r>
        <w:rPr>
          <w:rFonts w:hint="eastAsia" w:ascii="仿宋" w:hAnsi="仿宋" w:eastAsia="仿宋" w:cs="仿宋"/>
          <w:sz w:val="32"/>
          <w:szCs w:val="32"/>
        </w:rPr>
        <w:t>00户以上</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spacing w:line="560" w:lineRule="exact"/>
        <w:ind w:left="0" w:firstLine="640" w:firstLineChars="200"/>
        <w:rPr>
          <w:rFonts w:hint="eastAsia" w:ascii="仿宋" w:hAnsi="仿宋" w:eastAsia="仿宋" w:cs="仿宋"/>
          <w:sz w:val="32"/>
          <w:szCs w:val="32"/>
          <w:lang w:val="en-US"/>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2）企业</w:t>
      </w:r>
      <w:r>
        <w:rPr>
          <w:rFonts w:hint="eastAsia" w:ascii="仿宋" w:hAnsi="仿宋" w:eastAsia="仿宋" w:cs="仿宋"/>
          <w:sz w:val="32"/>
          <w:szCs w:val="32"/>
          <w:lang w:eastAsia="zh-CN"/>
        </w:rPr>
        <w:t>在本市内建立农产品生产基地</w:t>
      </w:r>
      <w:r>
        <w:rPr>
          <w:rFonts w:hint="eastAsia" w:ascii="仿宋" w:hAnsi="仿宋" w:eastAsia="仿宋" w:cs="仿宋"/>
          <w:sz w:val="32"/>
          <w:szCs w:val="32"/>
          <w:lang w:val="en-US" w:eastAsia="zh-CN"/>
        </w:rPr>
        <w:t>200亩以上或解决本地农民就业100人以上。</w:t>
      </w:r>
    </w:p>
    <w:p>
      <w:pPr>
        <w:keepNext w:val="0"/>
        <w:keepLines w:val="0"/>
        <w:pageBreakBefore w:val="0"/>
        <w:kinsoku/>
        <w:wordWrap/>
        <w:overflowPunct/>
        <w:topLinePunct w:val="0"/>
        <w:autoSpaceDE/>
        <w:autoSpaceDN/>
        <w:bidi w:val="0"/>
        <w:spacing w:line="560" w:lineRule="exact"/>
        <w:ind w:left="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3）企业年收购本地农户生产的农产品12000吨以上或出口1500万元以上。</w:t>
      </w:r>
    </w:p>
    <w:p>
      <w:pPr>
        <w:keepNext w:val="0"/>
        <w:keepLines w:val="0"/>
        <w:pageBreakBefore w:val="0"/>
        <w:kinsoku/>
        <w:wordWrap/>
        <w:overflowPunct/>
        <w:topLinePunct w:val="0"/>
        <w:autoSpaceDE/>
        <w:autoSpaceDN/>
        <w:bidi w:val="0"/>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通过从上述利益联结主体或自建基地直接采购的原料或购进的货物占所需原料量或所销售货物量的70%以上。</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firstLine="642" w:firstLineChars="200"/>
        <w:jc w:val="both"/>
        <w:rPr>
          <w:rFonts w:hint="eastAsia" w:ascii="仿宋" w:hAnsi="仿宋" w:eastAsia="仿宋" w:cs="仿宋"/>
          <w:kern w:val="2"/>
          <w:sz w:val="32"/>
          <w:szCs w:val="32"/>
        </w:rPr>
      </w:pPr>
      <w:r>
        <w:rPr>
          <w:rFonts w:hint="eastAsia" w:ascii="仿宋" w:hAnsi="仿宋" w:eastAsia="仿宋" w:cs="仿宋"/>
          <w:b/>
          <w:bCs/>
          <w:kern w:val="2"/>
          <w:sz w:val="32"/>
          <w:szCs w:val="32"/>
          <w:lang w:val="en-US" w:eastAsia="zh-CN"/>
        </w:rPr>
        <w:t>7</w:t>
      </w:r>
      <w:r>
        <w:rPr>
          <w:rFonts w:hint="eastAsia" w:ascii="仿宋" w:hAnsi="仿宋" w:eastAsia="仿宋" w:cs="仿宋"/>
          <w:b/>
          <w:bCs/>
          <w:kern w:val="2"/>
          <w:sz w:val="32"/>
          <w:szCs w:val="32"/>
        </w:rPr>
        <w:t>.竞争能力</w:t>
      </w:r>
      <w:r>
        <w:rPr>
          <w:rFonts w:hint="eastAsia" w:ascii="仿宋" w:hAnsi="仿宋" w:eastAsia="仿宋" w:cs="仿宋"/>
          <w:b/>
          <w:bCs/>
          <w:sz w:val="32"/>
          <w:szCs w:val="32"/>
        </w:rPr>
        <w:t>。</w:t>
      </w:r>
      <w:r>
        <w:rPr>
          <w:rFonts w:hint="eastAsia" w:ascii="仿宋" w:hAnsi="仿宋" w:eastAsia="仿宋" w:cs="仿宋"/>
          <w:kern w:val="2"/>
          <w:sz w:val="32"/>
          <w:szCs w:val="32"/>
          <w:lang w:bidi="ar-SA"/>
        </w:rPr>
        <w:t>在本</w:t>
      </w:r>
      <w:r>
        <w:rPr>
          <w:rFonts w:hint="eastAsia" w:ascii="仿宋" w:hAnsi="仿宋" w:eastAsia="仿宋" w:cs="仿宋"/>
          <w:kern w:val="2"/>
          <w:sz w:val="32"/>
          <w:szCs w:val="32"/>
          <w:lang w:eastAsia="zh-CN" w:bidi="ar-SA"/>
        </w:rPr>
        <w:t>市</w:t>
      </w:r>
      <w:r>
        <w:rPr>
          <w:rFonts w:hint="eastAsia" w:ascii="仿宋" w:hAnsi="仿宋" w:eastAsia="仿宋" w:cs="仿宋"/>
          <w:kern w:val="2"/>
          <w:sz w:val="32"/>
          <w:szCs w:val="32"/>
          <w:lang w:bidi="ar-SA"/>
        </w:rPr>
        <w:t>同行业中企业的产品质量、产品科技含量、新产品开发能力处于较高水平，企业有注册商标和品牌。产品符合国家产业政策、环保政策和绿色发展要求，并获得相关质量管理标准体系认证。</w:t>
      </w:r>
      <w:r>
        <w:rPr>
          <w:rFonts w:hint="eastAsia" w:ascii="仿宋" w:hAnsi="仿宋" w:eastAsia="仿宋" w:cs="仿宋"/>
          <w:kern w:val="2"/>
          <w:sz w:val="32"/>
          <w:szCs w:val="32"/>
        </w:rPr>
        <w:t>生产食用农产品（水产品）的企业纳入</w:t>
      </w:r>
      <w:r>
        <w:rPr>
          <w:rFonts w:hint="eastAsia" w:ascii="仿宋" w:hAnsi="仿宋" w:eastAsia="仿宋" w:cs="仿宋"/>
          <w:kern w:val="2"/>
          <w:sz w:val="32"/>
          <w:szCs w:val="32"/>
          <w:lang w:eastAsia="zh-CN"/>
        </w:rPr>
        <w:t>市</w:t>
      </w:r>
      <w:r>
        <w:rPr>
          <w:rFonts w:hint="eastAsia" w:ascii="仿宋" w:hAnsi="仿宋" w:eastAsia="仿宋" w:cs="仿宋"/>
          <w:kern w:val="2"/>
          <w:sz w:val="32"/>
          <w:szCs w:val="32"/>
        </w:rPr>
        <w:t>级农产品（水产品）质量安全可追溯管理体系</w:t>
      </w:r>
      <w:r>
        <w:rPr>
          <w:rFonts w:hint="eastAsia" w:ascii="仿宋" w:hAnsi="仿宋" w:eastAsia="仿宋" w:cs="仿宋"/>
          <w:kern w:val="2"/>
          <w:sz w:val="32"/>
          <w:szCs w:val="32"/>
          <w:lang w:bidi="ar-SA"/>
        </w:rPr>
        <w:t>，实行一品一码、源头赋码，且近2年内没有发生产品质量安全事件。</w:t>
      </w:r>
    </w:p>
    <w:p>
      <w:pPr>
        <w:pStyle w:val="6"/>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left="0" w:firstLine="640" w:firstLineChars="200"/>
        <w:jc w:val="both"/>
        <w:rPr>
          <w:rFonts w:hint="eastAsia" w:ascii="仿宋" w:hAnsi="仿宋" w:eastAsia="仿宋" w:cs="仿宋"/>
          <w:sz w:val="32"/>
          <w:szCs w:val="32"/>
        </w:rPr>
      </w:pPr>
      <w:r>
        <w:rPr>
          <w:rFonts w:hint="eastAsia" w:ascii="仿宋" w:hAnsi="仿宋" w:eastAsia="仿宋" w:cs="仿宋"/>
          <w:color w:val="333333"/>
          <w:sz w:val="32"/>
          <w:szCs w:val="32"/>
          <w:lang w:bidi="ar-SA"/>
        </w:rPr>
        <w:t>第六条　</w:t>
      </w:r>
      <w:r>
        <w:rPr>
          <w:rFonts w:hint="eastAsia" w:ascii="仿宋" w:hAnsi="仿宋" w:eastAsia="仿宋" w:cs="仿宋"/>
          <w:kern w:val="2"/>
          <w:sz w:val="32"/>
          <w:szCs w:val="32"/>
          <w:lang w:bidi="ar-SA"/>
        </w:rPr>
        <w:t>鼓励具有自主知识产权、科技创新能力强、资源优势明显、产业增值效益大、自觉履行社会责任并紧密带动农户的农业企业申报</w:t>
      </w:r>
      <w:r>
        <w:rPr>
          <w:rFonts w:hint="eastAsia" w:ascii="仿宋" w:hAnsi="仿宋" w:eastAsia="仿宋" w:cs="仿宋"/>
          <w:kern w:val="2"/>
          <w:sz w:val="32"/>
          <w:szCs w:val="32"/>
          <w:lang w:eastAsia="zh-CN" w:bidi="ar-SA"/>
        </w:rPr>
        <w:t>市</w:t>
      </w:r>
      <w:r>
        <w:rPr>
          <w:rFonts w:hint="eastAsia" w:ascii="仿宋" w:hAnsi="仿宋" w:eastAsia="仿宋" w:cs="仿宋"/>
          <w:kern w:val="2"/>
          <w:sz w:val="32"/>
          <w:szCs w:val="32"/>
          <w:lang w:bidi="ar-SA"/>
        </w:rPr>
        <w:t>级重点龙头企业。鼓励促进农村一二三产业融合发展、推进农业供给侧结构性改革、参与乡村振兴以及发展农业产业化联合体、创建农业产业化示范基地的农业企业申报</w:t>
      </w:r>
      <w:r>
        <w:rPr>
          <w:rFonts w:hint="eastAsia" w:ascii="仿宋" w:hAnsi="仿宋" w:eastAsia="仿宋" w:cs="仿宋"/>
          <w:kern w:val="2"/>
          <w:sz w:val="32"/>
          <w:szCs w:val="32"/>
          <w:lang w:eastAsia="zh-CN" w:bidi="ar-SA"/>
        </w:rPr>
        <w:t>市</w:t>
      </w:r>
      <w:r>
        <w:rPr>
          <w:rFonts w:hint="eastAsia" w:ascii="仿宋" w:hAnsi="仿宋" w:eastAsia="仿宋" w:cs="仿宋"/>
          <w:kern w:val="2"/>
          <w:sz w:val="32"/>
          <w:szCs w:val="32"/>
          <w:lang w:bidi="ar-SA"/>
        </w:rPr>
        <w:t>级重点龙头企业。对申报前2年销售收入增长都不低于30%，以及与建档立卡贫困户建立稳定农产品产销关系或者帮扶关系的农业企业</w:t>
      </w:r>
      <w:r>
        <w:rPr>
          <w:rFonts w:hint="eastAsia" w:ascii="仿宋" w:hAnsi="仿宋" w:eastAsia="仿宋" w:cs="仿宋"/>
          <w:kern w:val="2"/>
          <w:sz w:val="32"/>
          <w:szCs w:val="32"/>
          <w:lang w:eastAsia="zh-CN" w:bidi="ar-SA"/>
        </w:rPr>
        <w:t>可放宽申报条件（详见附表</w:t>
      </w:r>
      <w:r>
        <w:rPr>
          <w:rFonts w:hint="eastAsia" w:ascii="仿宋" w:hAnsi="仿宋" w:eastAsia="仿宋" w:cs="仿宋"/>
          <w:kern w:val="2"/>
          <w:sz w:val="32"/>
          <w:szCs w:val="32"/>
          <w:lang w:val="en-US" w:eastAsia="zh-CN" w:bidi="ar-SA"/>
        </w:rPr>
        <w:t>1）</w:t>
      </w:r>
      <w:r>
        <w:rPr>
          <w:rFonts w:hint="eastAsia" w:ascii="仿宋" w:hAnsi="仿宋" w:eastAsia="仿宋" w:cs="仿宋"/>
          <w:kern w:val="2"/>
          <w:sz w:val="32"/>
          <w:szCs w:val="32"/>
          <w:lang w:bidi="ar-SA"/>
        </w:rPr>
        <w:t>。</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第七条  申报材料</w:t>
      </w:r>
    </w:p>
    <w:p>
      <w:pPr>
        <w:keepNext w:val="0"/>
        <w:keepLines w:val="0"/>
        <w:pageBreakBefore w:val="0"/>
        <w:shd w:val="solid" w:color="FFFFFF" w:fill="auto"/>
        <w:kinsoku/>
        <w:wordWrap/>
        <w:overflowPunct/>
        <w:topLinePunct w:val="0"/>
        <w:autoSpaceDE/>
        <w:autoSpaceDN/>
        <w:bidi w:val="0"/>
        <w:adjustRightInd w:val="0"/>
        <w:snapToGrid w:val="0"/>
        <w:spacing w:line="560" w:lineRule="exact"/>
        <w:ind w:firstLine="645"/>
        <w:rPr>
          <w:rFonts w:hint="eastAsia" w:ascii="仿宋" w:hAnsi="仿宋" w:eastAsia="仿宋" w:cs="仿宋"/>
          <w:kern w:val="0"/>
          <w:sz w:val="32"/>
          <w:szCs w:val="32"/>
        </w:rPr>
      </w:pPr>
      <w:r>
        <w:rPr>
          <w:rFonts w:hint="eastAsia" w:ascii="仿宋" w:hAnsi="仿宋" w:eastAsia="仿宋" w:cs="仿宋"/>
          <w:kern w:val="0"/>
          <w:sz w:val="32"/>
          <w:szCs w:val="32"/>
        </w:rPr>
        <w:t>1.企业申请报告，附企业简介（含企业成立时间、主要经营业务、发展历程、组织结构、主要成就、发展前景、参与扶贫和带动农户等情况</w:t>
      </w:r>
      <w:r>
        <w:rPr>
          <w:rFonts w:hint="eastAsia" w:ascii="仿宋" w:hAnsi="仿宋" w:eastAsia="仿宋" w:cs="仿宋"/>
          <w:kern w:val="0"/>
          <w:sz w:val="32"/>
          <w:szCs w:val="32"/>
          <w:lang w:val="en-US" w:eastAsia="zh-CN"/>
        </w:rPr>
        <w:t>800字</w:t>
      </w:r>
      <w:r>
        <w:rPr>
          <w:rFonts w:hint="eastAsia" w:ascii="仿宋" w:hAnsi="仿宋" w:eastAsia="仿宋" w:cs="仿宋"/>
          <w:kern w:val="0"/>
          <w:sz w:val="32"/>
          <w:szCs w:val="32"/>
        </w:rPr>
        <w:t>）。</w:t>
      </w:r>
    </w:p>
    <w:p>
      <w:pPr>
        <w:keepNext w:val="0"/>
        <w:keepLines w:val="0"/>
        <w:pageBreakBefore w:val="0"/>
        <w:shd w:val="solid" w:color="FFFFFF" w:fill="auto"/>
        <w:kinsoku/>
        <w:wordWrap/>
        <w:overflowPunct/>
        <w:topLinePunct w:val="0"/>
        <w:autoSpaceDE/>
        <w:autoSpaceDN/>
        <w:bidi w:val="0"/>
        <w:adjustRightInd w:val="0"/>
        <w:snapToGrid w:val="0"/>
        <w:spacing w:line="560" w:lineRule="exact"/>
        <w:ind w:firstLine="645"/>
        <w:rPr>
          <w:rFonts w:hint="eastAsia" w:ascii="仿宋" w:hAnsi="仿宋" w:eastAsia="仿宋" w:cs="仿宋"/>
          <w:kern w:val="0"/>
          <w:sz w:val="32"/>
          <w:szCs w:val="32"/>
        </w:rPr>
      </w:pPr>
      <w:r>
        <w:rPr>
          <w:rFonts w:hint="eastAsia" w:ascii="仿宋" w:hAnsi="仿宋" w:eastAsia="仿宋" w:cs="仿宋"/>
          <w:kern w:val="0"/>
          <w:sz w:val="32"/>
          <w:szCs w:val="32"/>
        </w:rPr>
        <w:t>2.企业申报情况表（</w:t>
      </w:r>
      <w:r>
        <w:rPr>
          <w:rFonts w:hint="eastAsia" w:ascii="仿宋" w:hAnsi="仿宋" w:eastAsia="仿宋" w:cs="仿宋"/>
          <w:kern w:val="0"/>
          <w:sz w:val="32"/>
          <w:szCs w:val="32"/>
          <w:lang w:eastAsia="zh-CN"/>
        </w:rPr>
        <w:t>见附表</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w:t>
      </w:r>
    </w:p>
    <w:p>
      <w:pPr>
        <w:keepNext w:val="0"/>
        <w:keepLines w:val="0"/>
        <w:pageBreakBefore w:val="0"/>
        <w:shd w:val="solid" w:color="FFFFFF" w:fill="auto"/>
        <w:kinsoku/>
        <w:wordWrap/>
        <w:overflowPunct/>
        <w:topLinePunct w:val="0"/>
        <w:autoSpaceDE/>
        <w:autoSpaceDN/>
        <w:bidi w:val="0"/>
        <w:adjustRightInd w:val="0"/>
        <w:snapToGrid w:val="0"/>
        <w:spacing w:line="560" w:lineRule="exact"/>
        <w:ind w:firstLine="645"/>
        <w:rPr>
          <w:rFonts w:hint="eastAsia" w:ascii="仿宋" w:hAnsi="仿宋" w:eastAsia="仿宋" w:cs="仿宋"/>
          <w:kern w:val="0"/>
          <w:sz w:val="32"/>
          <w:szCs w:val="32"/>
        </w:rPr>
      </w:pPr>
      <w:r>
        <w:rPr>
          <w:rFonts w:hint="eastAsia" w:ascii="仿宋" w:hAnsi="仿宋" w:eastAsia="仿宋" w:cs="仿宋"/>
          <w:kern w:val="0"/>
          <w:sz w:val="32"/>
          <w:szCs w:val="32"/>
        </w:rPr>
        <w:t>3.经有资质的会计师事务所出具的企业近2年财务审计报告。</w:t>
      </w:r>
    </w:p>
    <w:p>
      <w:pPr>
        <w:keepNext w:val="0"/>
        <w:keepLines w:val="0"/>
        <w:pageBreakBefore w:val="0"/>
        <w:shd w:val="solid" w:color="FFFFFF" w:fill="auto"/>
        <w:kinsoku/>
        <w:wordWrap/>
        <w:overflowPunct/>
        <w:topLinePunct w:val="0"/>
        <w:autoSpaceDE/>
        <w:autoSpaceDN/>
        <w:bidi w:val="0"/>
        <w:adjustRightInd w:val="0"/>
        <w:snapToGrid w:val="0"/>
        <w:spacing w:line="560" w:lineRule="exact"/>
        <w:ind w:firstLine="645"/>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4.符合申报标准的其他佐证材料。</w:t>
      </w:r>
    </w:p>
    <w:p>
      <w:pPr>
        <w:keepNext w:val="0"/>
        <w:keepLines w:val="0"/>
        <w:pageBreakBefore w:val="0"/>
        <w:shd w:val="solid" w:color="FFFFFF" w:fill="auto"/>
        <w:kinsoku/>
        <w:wordWrap/>
        <w:overflowPunct/>
        <w:topLinePunct w:val="0"/>
        <w:autoSpaceDE/>
        <w:autoSpaceDN/>
        <w:bidi w:val="0"/>
        <w:adjustRightInd w:val="0"/>
        <w:snapToGrid w:val="0"/>
        <w:spacing w:line="560" w:lineRule="exact"/>
        <w:ind w:firstLine="645"/>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已上市或市级重点上市后备企业申请直接认定为农业产业化市级重点龙头企业，提供第1、2款材料和与券商签约合同复印件及完成股改的相关证明材料。</w:t>
      </w:r>
    </w:p>
    <w:p>
      <w:pPr>
        <w:keepNext w:val="0"/>
        <w:keepLines w:val="0"/>
        <w:pageBreakBefore w:val="0"/>
        <w:kinsoku/>
        <w:wordWrap/>
        <w:overflowPunct/>
        <w:topLinePunct w:val="0"/>
        <w:autoSpaceDE/>
        <w:autoSpaceDN/>
        <w:bidi w:val="0"/>
        <w:spacing w:line="560" w:lineRule="exact"/>
        <w:ind w:firstLine="645"/>
        <w:outlineLvl w:val="0"/>
        <w:rPr>
          <w:rFonts w:hint="eastAsia" w:ascii="仿宋" w:hAnsi="仿宋" w:eastAsia="仿宋" w:cs="仿宋"/>
          <w:sz w:val="32"/>
          <w:szCs w:val="32"/>
        </w:rPr>
      </w:pPr>
      <w:r>
        <w:rPr>
          <w:rFonts w:hint="eastAsia" w:ascii="仿宋" w:hAnsi="仿宋" w:eastAsia="仿宋" w:cs="仿宋"/>
          <w:sz w:val="32"/>
          <w:szCs w:val="32"/>
        </w:rPr>
        <w:t>第八条  申报程序</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center"/>
        <w:rPr>
          <w:rFonts w:hint="eastAsia" w:ascii="仿宋" w:hAnsi="仿宋" w:eastAsia="仿宋" w:cs="仿宋"/>
          <w:kern w:val="0"/>
          <w:sz w:val="32"/>
          <w:szCs w:val="32"/>
        </w:rPr>
      </w:pPr>
      <w:r>
        <w:rPr>
          <w:rFonts w:hint="eastAsia" w:ascii="仿宋" w:hAnsi="仿宋" w:eastAsia="仿宋" w:cs="仿宋"/>
          <w:kern w:val="0"/>
          <w:sz w:val="32"/>
          <w:szCs w:val="32"/>
        </w:rPr>
        <w:t>1.申报企业直接向注册所在</w:t>
      </w:r>
      <w:r>
        <w:rPr>
          <w:rFonts w:hint="eastAsia" w:ascii="仿宋" w:hAnsi="仿宋" w:eastAsia="仿宋" w:cs="仿宋"/>
          <w:kern w:val="0"/>
          <w:sz w:val="32"/>
          <w:szCs w:val="32"/>
          <w:lang w:eastAsia="zh-CN"/>
        </w:rPr>
        <w:t>区</w:t>
      </w:r>
      <w:r>
        <w:rPr>
          <w:rFonts w:hint="eastAsia" w:ascii="仿宋" w:hAnsi="仿宋" w:eastAsia="仿宋" w:cs="仿宋"/>
          <w:kern w:val="0"/>
          <w:sz w:val="32"/>
          <w:szCs w:val="32"/>
        </w:rPr>
        <w:t>农业产业化主管部门提出申请，递交申报材料。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center"/>
        <w:rPr>
          <w:rFonts w:hint="eastAsia" w:ascii="仿宋" w:hAnsi="仿宋" w:eastAsia="仿宋" w:cs="仿宋"/>
          <w:kern w:val="0"/>
          <w:sz w:val="32"/>
          <w:szCs w:val="32"/>
        </w:rPr>
      </w:pPr>
      <w:r>
        <w:rPr>
          <w:rFonts w:hint="eastAsia" w:ascii="仿宋" w:hAnsi="仿宋" w:eastAsia="仿宋" w:cs="仿宋"/>
          <w:kern w:val="0"/>
          <w:sz w:val="32"/>
          <w:szCs w:val="32"/>
        </w:rPr>
        <w:t>2.</w:t>
      </w:r>
      <w:r>
        <w:rPr>
          <w:rFonts w:hint="eastAsia" w:ascii="仿宋" w:hAnsi="仿宋" w:eastAsia="仿宋" w:cs="仿宋"/>
          <w:kern w:val="0"/>
          <w:sz w:val="32"/>
          <w:szCs w:val="32"/>
          <w:lang w:eastAsia="zh-CN"/>
        </w:rPr>
        <w:t>区（管委会）</w:t>
      </w:r>
      <w:r>
        <w:rPr>
          <w:rFonts w:hint="eastAsia" w:ascii="仿宋" w:hAnsi="仿宋" w:eastAsia="仿宋" w:cs="仿宋"/>
          <w:kern w:val="0"/>
          <w:sz w:val="32"/>
          <w:szCs w:val="32"/>
        </w:rPr>
        <w:t>农业产业化主管部门对企业申报材料的</w:t>
      </w:r>
      <w:r>
        <w:rPr>
          <w:rFonts w:hint="eastAsia" w:ascii="仿宋" w:hAnsi="仿宋" w:eastAsia="仿宋" w:cs="仿宋"/>
          <w:kern w:val="0"/>
          <w:sz w:val="32"/>
          <w:szCs w:val="32"/>
          <w:lang w:eastAsia="zh-CN"/>
        </w:rPr>
        <w:t>完整</w:t>
      </w:r>
      <w:r>
        <w:rPr>
          <w:rFonts w:hint="eastAsia" w:ascii="仿宋" w:hAnsi="仿宋" w:eastAsia="仿宋" w:cs="仿宋"/>
          <w:kern w:val="0"/>
          <w:sz w:val="32"/>
          <w:szCs w:val="32"/>
        </w:rPr>
        <w:t>性进行审核，并对企业填报的带动农户情况进行核实并公示，接受社会监督。对符合条件的企业经征求当地</w:t>
      </w:r>
      <w:r>
        <w:rPr>
          <w:rFonts w:hint="eastAsia" w:ascii="仿宋" w:hAnsi="仿宋" w:eastAsia="仿宋" w:cs="仿宋"/>
          <w:bCs/>
          <w:kern w:val="0"/>
          <w:sz w:val="32"/>
          <w:szCs w:val="32"/>
          <w:lang w:bidi="ar-SA"/>
        </w:rPr>
        <w:t>发改、财政、商务、林业、海洋渔业等部门意见，</w:t>
      </w:r>
      <w:r>
        <w:rPr>
          <w:rFonts w:hint="eastAsia" w:ascii="仿宋" w:hAnsi="仿宋" w:eastAsia="仿宋" w:cs="仿宋"/>
          <w:bCs/>
          <w:kern w:val="0"/>
          <w:sz w:val="32"/>
          <w:szCs w:val="32"/>
        </w:rPr>
        <w:t>提出</w:t>
      </w:r>
      <w:r>
        <w:rPr>
          <w:rFonts w:hint="eastAsia" w:ascii="仿宋" w:hAnsi="仿宋" w:eastAsia="仿宋" w:cs="仿宋"/>
          <w:bCs/>
          <w:kern w:val="0"/>
          <w:sz w:val="32"/>
          <w:szCs w:val="32"/>
          <w:lang w:eastAsia="zh-CN"/>
        </w:rPr>
        <w:t>初</w:t>
      </w:r>
      <w:r>
        <w:rPr>
          <w:rFonts w:hint="eastAsia" w:ascii="仿宋" w:hAnsi="仿宋" w:eastAsia="仿宋" w:cs="仿宋"/>
          <w:bCs/>
          <w:kern w:val="0"/>
          <w:sz w:val="32"/>
          <w:szCs w:val="32"/>
        </w:rPr>
        <w:t>审意见</w:t>
      </w:r>
      <w:r>
        <w:rPr>
          <w:rFonts w:hint="eastAsia" w:ascii="仿宋" w:hAnsi="仿宋" w:eastAsia="仿宋" w:cs="仿宋"/>
          <w:bCs/>
          <w:kern w:val="0"/>
          <w:sz w:val="32"/>
          <w:szCs w:val="32"/>
          <w:lang w:eastAsia="zh-CN"/>
        </w:rPr>
        <w:t>，</w:t>
      </w:r>
      <w:r>
        <w:rPr>
          <w:rFonts w:hint="eastAsia" w:ascii="仿宋" w:hAnsi="仿宋" w:eastAsia="仿宋" w:cs="仿宋"/>
          <w:kern w:val="0"/>
          <w:sz w:val="32"/>
          <w:szCs w:val="32"/>
        </w:rPr>
        <w:t>报</w:t>
      </w:r>
      <w:r>
        <w:rPr>
          <w:rFonts w:hint="eastAsia" w:ascii="仿宋" w:hAnsi="仿宋" w:eastAsia="仿宋" w:cs="仿宋"/>
          <w:kern w:val="0"/>
          <w:sz w:val="32"/>
          <w:szCs w:val="32"/>
          <w:lang w:eastAsia="zh-CN"/>
        </w:rPr>
        <w:t>区</w:t>
      </w:r>
      <w:r>
        <w:rPr>
          <w:rFonts w:hint="eastAsia" w:ascii="仿宋" w:hAnsi="仿宋" w:eastAsia="仿宋" w:cs="仿宋"/>
          <w:bCs/>
          <w:kern w:val="0"/>
          <w:sz w:val="32"/>
          <w:szCs w:val="32"/>
        </w:rPr>
        <w:t>级</w:t>
      </w:r>
      <w:r>
        <w:rPr>
          <w:rFonts w:hint="eastAsia" w:ascii="仿宋" w:hAnsi="仿宋" w:eastAsia="仿宋" w:cs="仿宋"/>
          <w:kern w:val="0"/>
          <w:sz w:val="32"/>
          <w:szCs w:val="32"/>
        </w:rPr>
        <w:t>政府</w:t>
      </w:r>
      <w:r>
        <w:rPr>
          <w:rFonts w:hint="eastAsia" w:ascii="仿宋" w:hAnsi="仿宋" w:eastAsia="仿宋" w:cs="仿宋"/>
          <w:kern w:val="0"/>
          <w:sz w:val="32"/>
          <w:szCs w:val="32"/>
          <w:lang w:eastAsia="zh-CN"/>
        </w:rPr>
        <w:t>（管委会）</w:t>
      </w:r>
      <w:r>
        <w:rPr>
          <w:rFonts w:hint="eastAsia" w:ascii="仿宋" w:hAnsi="仿宋" w:eastAsia="仿宋" w:cs="仿宋"/>
          <w:kern w:val="0"/>
          <w:sz w:val="32"/>
          <w:szCs w:val="32"/>
        </w:rPr>
        <w:t>同意后，由</w:t>
      </w:r>
      <w:r>
        <w:rPr>
          <w:rFonts w:hint="eastAsia" w:ascii="仿宋" w:hAnsi="仿宋" w:eastAsia="仿宋" w:cs="仿宋"/>
          <w:kern w:val="0"/>
          <w:sz w:val="32"/>
          <w:szCs w:val="32"/>
          <w:lang w:eastAsia="zh-CN"/>
        </w:rPr>
        <w:t>区</w:t>
      </w:r>
      <w:r>
        <w:rPr>
          <w:rFonts w:hint="eastAsia" w:ascii="仿宋" w:hAnsi="仿宋" w:eastAsia="仿宋" w:cs="仿宋"/>
          <w:kern w:val="0"/>
          <w:sz w:val="32"/>
          <w:szCs w:val="32"/>
        </w:rPr>
        <w:t>级农业产业化主管部门正式行文</w:t>
      </w:r>
      <w:r>
        <w:rPr>
          <w:rFonts w:hint="eastAsia" w:ascii="仿宋" w:hAnsi="仿宋" w:eastAsia="仿宋" w:cs="仿宋"/>
          <w:kern w:val="0"/>
          <w:sz w:val="32"/>
          <w:szCs w:val="32"/>
          <w:lang w:eastAsia="zh-CN"/>
        </w:rPr>
        <w:t>向市农业农村局推荐，并附审核意见和</w:t>
      </w:r>
      <w:r>
        <w:rPr>
          <w:rFonts w:hint="eastAsia" w:ascii="仿宋" w:hAnsi="仿宋" w:eastAsia="仿宋" w:cs="仿宋"/>
          <w:kern w:val="0"/>
          <w:sz w:val="32"/>
          <w:szCs w:val="32"/>
        </w:rPr>
        <w:t xml:space="preserve">企业申报材料。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center"/>
        <w:rPr>
          <w:rFonts w:hint="eastAsia" w:ascii="仿宋" w:hAnsi="仿宋" w:eastAsia="仿宋" w:cs="仿宋"/>
          <w:kern w:val="0"/>
          <w:sz w:val="32"/>
          <w:szCs w:val="32"/>
        </w:rPr>
      </w:pPr>
    </w:p>
    <w:p>
      <w:pPr>
        <w:keepNext w:val="0"/>
        <w:keepLines w:val="0"/>
        <w:pageBreakBefore w:val="0"/>
        <w:kinsoku/>
        <w:wordWrap/>
        <w:overflowPunct/>
        <w:topLinePunct w:val="0"/>
        <w:autoSpaceDE/>
        <w:autoSpaceDN/>
        <w:bidi w:val="0"/>
        <w:spacing w:line="560" w:lineRule="exact"/>
        <w:ind w:left="0"/>
        <w:jc w:val="center"/>
        <w:rPr>
          <w:rFonts w:hint="eastAsia" w:ascii="黑体" w:hAnsi="黑体" w:eastAsia="黑体" w:cs="黑体"/>
          <w:sz w:val="32"/>
          <w:szCs w:val="32"/>
        </w:rPr>
      </w:pPr>
      <w:r>
        <w:rPr>
          <w:rFonts w:hint="eastAsia" w:ascii="黑体" w:hAnsi="黑体" w:eastAsia="黑体" w:cs="黑体"/>
          <w:sz w:val="32"/>
          <w:szCs w:val="32"/>
        </w:rPr>
        <w:t>第三章  认    定</w:t>
      </w:r>
    </w:p>
    <w:p>
      <w:pPr>
        <w:keepNext w:val="0"/>
        <w:keepLines w:val="0"/>
        <w:pageBreakBefore w:val="0"/>
        <w:kinsoku/>
        <w:wordWrap/>
        <w:overflowPunct/>
        <w:topLinePunct w:val="0"/>
        <w:autoSpaceDE/>
        <w:autoSpaceDN/>
        <w:bidi w:val="0"/>
        <w:spacing w:line="560" w:lineRule="exact"/>
        <w:ind w:left="0"/>
        <w:jc w:val="center"/>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560" w:lineRule="exact"/>
        <w:ind w:firstLine="645"/>
        <w:rPr>
          <w:rFonts w:hint="eastAsia" w:ascii="仿宋" w:hAnsi="仿宋" w:eastAsia="仿宋" w:cs="仿宋"/>
          <w:kern w:val="0"/>
          <w:sz w:val="32"/>
          <w:szCs w:val="32"/>
        </w:rPr>
      </w:pPr>
      <w:r>
        <w:rPr>
          <w:rFonts w:hint="eastAsia" w:ascii="仿宋" w:hAnsi="仿宋" w:eastAsia="仿宋" w:cs="仿宋"/>
          <w:sz w:val="32"/>
          <w:szCs w:val="32"/>
        </w:rPr>
        <w:t xml:space="preserve">第九条  </w:t>
      </w:r>
      <w:r>
        <w:rPr>
          <w:rFonts w:hint="eastAsia" w:ascii="仿宋" w:hAnsi="仿宋" w:eastAsia="仿宋" w:cs="仿宋"/>
          <w:bCs/>
          <w:kern w:val="0"/>
          <w:sz w:val="32"/>
          <w:szCs w:val="32"/>
          <w:lang w:eastAsia="zh-CN"/>
        </w:rPr>
        <w:t>市</w:t>
      </w:r>
      <w:r>
        <w:rPr>
          <w:rFonts w:hint="eastAsia" w:ascii="仿宋" w:hAnsi="仿宋" w:eastAsia="仿宋" w:cs="仿宋"/>
          <w:bCs/>
          <w:kern w:val="0"/>
          <w:sz w:val="32"/>
          <w:szCs w:val="32"/>
        </w:rPr>
        <w:t>农业农村</w:t>
      </w:r>
      <w:r>
        <w:rPr>
          <w:rFonts w:hint="eastAsia" w:ascii="仿宋" w:hAnsi="仿宋" w:eastAsia="仿宋" w:cs="仿宋"/>
          <w:bCs/>
          <w:kern w:val="0"/>
          <w:sz w:val="32"/>
          <w:szCs w:val="32"/>
          <w:lang w:eastAsia="zh-CN"/>
        </w:rPr>
        <w:t>局</w:t>
      </w:r>
      <w:r>
        <w:rPr>
          <w:rFonts w:hint="eastAsia" w:ascii="仿宋" w:hAnsi="仿宋" w:eastAsia="仿宋" w:cs="仿宋"/>
          <w:bCs/>
          <w:kern w:val="0"/>
          <w:sz w:val="32"/>
          <w:szCs w:val="32"/>
        </w:rPr>
        <w:t>牵头</w:t>
      </w:r>
      <w:r>
        <w:rPr>
          <w:rFonts w:hint="eastAsia" w:ascii="仿宋" w:hAnsi="仿宋" w:eastAsia="仿宋" w:cs="仿宋"/>
          <w:bCs/>
          <w:kern w:val="0"/>
          <w:sz w:val="32"/>
          <w:szCs w:val="32"/>
          <w:lang w:eastAsia="zh-CN"/>
        </w:rPr>
        <w:t>市</w:t>
      </w:r>
      <w:r>
        <w:rPr>
          <w:rFonts w:hint="eastAsia" w:ascii="仿宋" w:hAnsi="仿宋" w:eastAsia="仿宋" w:cs="仿宋"/>
          <w:bCs/>
          <w:kern w:val="0"/>
          <w:sz w:val="32"/>
          <w:szCs w:val="32"/>
        </w:rPr>
        <w:t>发改、财政、商务、</w:t>
      </w:r>
      <w:r>
        <w:rPr>
          <w:rFonts w:hint="eastAsia" w:ascii="仿宋" w:hAnsi="仿宋" w:eastAsia="仿宋" w:cs="仿宋"/>
          <w:bCs/>
          <w:kern w:val="0"/>
          <w:sz w:val="32"/>
          <w:szCs w:val="32"/>
          <w:lang w:eastAsia="zh-CN"/>
        </w:rPr>
        <w:t>市政园林</w:t>
      </w:r>
      <w:r>
        <w:rPr>
          <w:rFonts w:hint="eastAsia" w:ascii="仿宋" w:hAnsi="仿宋" w:eastAsia="仿宋" w:cs="仿宋"/>
          <w:bCs/>
          <w:kern w:val="0"/>
          <w:sz w:val="32"/>
          <w:szCs w:val="32"/>
        </w:rPr>
        <w:t>、海洋、人行、税务、金融监管、证监、供销等11个部门建立农业产业化</w:t>
      </w:r>
      <w:r>
        <w:rPr>
          <w:rFonts w:hint="eastAsia" w:ascii="仿宋" w:hAnsi="仿宋" w:eastAsia="仿宋" w:cs="仿宋"/>
          <w:bCs/>
          <w:kern w:val="0"/>
          <w:sz w:val="32"/>
          <w:szCs w:val="32"/>
          <w:lang w:eastAsia="zh-CN"/>
        </w:rPr>
        <w:t>工作领导小组</w:t>
      </w:r>
      <w:r>
        <w:rPr>
          <w:rFonts w:hint="eastAsia" w:ascii="仿宋" w:hAnsi="仿宋" w:eastAsia="仿宋" w:cs="仿宋"/>
          <w:bCs/>
          <w:kern w:val="0"/>
          <w:sz w:val="32"/>
          <w:szCs w:val="32"/>
        </w:rPr>
        <w:t>，负责</w:t>
      </w:r>
      <w:r>
        <w:rPr>
          <w:rFonts w:hint="eastAsia" w:ascii="仿宋" w:hAnsi="仿宋" w:eastAsia="仿宋" w:cs="仿宋"/>
          <w:bCs/>
          <w:kern w:val="0"/>
          <w:sz w:val="32"/>
          <w:szCs w:val="32"/>
          <w:lang w:eastAsia="zh-CN"/>
        </w:rPr>
        <w:t>市</w:t>
      </w:r>
      <w:r>
        <w:rPr>
          <w:rFonts w:hint="eastAsia" w:ascii="仿宋" w:hAnsi="仿宋" w:eastAsia="仿宋" w:cs="仿宋"/>
          <w:bCs/>
          <w:kern w:val="0"/>
          <w:sz w:val="32"/>
          <w:szCs w:val="32"/>
        </w:rPr>
        <w:t>级重点龙头企业认定和监测工作。</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rPr>
          <w:rFonts w:hint="eastAsia" w:ascii="仿宋" w:hAnsi="仿宋" w:eastAsia="仿宋" w:cs="仿宋"/>
          <w:bCs/>
          <w:sz w:val="32"/>
          <w:szCs w:val="32"/>
          <w:lang w:bidi="ar-SA"/>
        </w:rPr>
      </w:pPr>
      <w:r>
        <w:rPr>
          <w:rFonts w:hint="eastAsia" w:ascii="仿宋" w:hAnsi="仿宋" w:eastAsia="仿宋" w:cs="仿宋"/>
          <w:color w:val="333333"/>
          <w:sz w:val="32"/>
          <w:szCs w:val="32"/>
          <w:lang w:bidi="ar-SA"/>
        </w:rPr>
        <w:t>第十条　</w:t>
      </w:r>
      <w:r>
        <w:rPr>
          <w:rFonts w:hint="eastAsia" w:ascii="仿宋" w:hAnsi="仿宋" w:eastAsia="仿宋" w:cs="仿宋"/>
          <w:bCs/>
          <w:sz w:val="32"/>
          <w:szCs w:val="32"/>
          <w:lang w:bidi="ar-SA"/>
        </w:rPr>
        <w:t>在</w:t>
      </w:r>
      <w:r>
        <w:rPr>
          <w:rFonts w:hint="eastAsia" w:ascii="仿宋" w:hAnsi="仿宋" w:eastAsia="仿宋" w:cs="仿宋"/>
          <w:bCs/>
          <w:sz w:val="32"/>
          <w:szCs w:val="32"/>
          <w:lang w:eastAsia="zh-CN" w:bidi="ar-SA"/>
        </w:rPr>
        <w:t>市</w:t>
      </w:r>
      <w:r>
        <w:rPr>
          <w:rFonts w:hint="eastAsia" w:ascii="仿宋" w:hAnsi="仿宋" w:eastAsia="仿宋" w:cs="仿宋"/>
          <w:bCs/>
          <w:sz w:val="32"/>
          <w:szCs w:val="32"/>
          <w:lang w:bidi="ar-SA"/>
        </w:rPr>
        <w:t>级重点龙头企业认定、监测期间，从农业、</w:t>
      </w:r>
      <w:r>
        <w:rPr>
          <w:rFonts w:hint="eastAsia" w:ascii="仿宋" w:hAnsi="仿宋" w:eastAsia="仿宋" w:cs="仿宋"/>
          <w:bCs/>
          <w:sz w:val="32"/>
          <w:szCs w:val="32"/>
          <w:lang w:eastAsia="zh-CN" w:bidi="ar-SA"/>
        </w:rPr>
        <w:t>市政园林</w:t>
      </w:r>
      <w:r>
        <w:rPr>
          <w:rFonts w:hint="eastAsia" w:ascii="仿宋" w:hAnsi="仿宋" w:eastAsia="仿宋" w:cs="仿宋"/>
          <w:bCs/>
          <w:sz w:val="32"/>
          <w:szCs w:val="32"/>
          <w:lang w:bidi="ar-SA"/>
        </w:rPr>
        <w:t>、海洋等有关部门专家库中随机抽取一定比例的专家组建专家组，负责对各地推荐的企业进行评审和监测评估</w:t>
      </w:r>
      <w:r>
        <w:rPr>
          <w:rFonts w:hint="eastAsia" w:ascii="仿宋" w:hAnsi="仿宋" w:eastAsia="仿宋" w:cs="仿宋"/>
          <w:bCs/>
          <w:sz w:val="32"/>
          <w:szCs w:val="32"/>
          <w:lang w:eastAsia="zh-CN" w:bidi="ar-SA"/>
        </w:rPr>
        <w:t>，</w:t>
      </w:r>
      <w:r>
        <w:rPr>
          <w:rFonts w:hint="eastAsia" w:ascii="仿宋" w:hAnsi="仿宋" w:eastAsia="仿宋" w:cs="仿宋"/>
          <w:bCs/>
          <w:sz w:val="32"/>
          <w:szCs w:val="32"/>
          <w:lang w:bidi="ar-SA"/>
        </w:rPr>
        <w:t>必要时可通过购买第三方服务的方式进行审查。专家组成员名单、</w:t>
      </w:r>
      <w:r>
        <w:rPr>
          <w:rFonts w:hint="eastAsia" w:ascii="仿宋" w:hAnsi="仿宋" w:eastAsia="仿宋" w:cs="仿宋"/>
          <w:bCs/>
          <w:sz w:val="32"/>
          <w:szCs w:val="32"/>
          <w:lang w:eastAsia="zh-CN" w:bidi="ar-SA"/>
        </w:rPr>
        <w:t>市</w:t>
      </w:r>
      <w:r>
        <w:rPr>
          <w:rFonts w:hint="eastAsia" w:ascii="仿宋" w:hAnsi="仿宋" w:eastAsia="仿宋" w:cs="仿宋"/>
          <w:bCs/>
          <w:sz w:val="32"/>
          <w:szCs w:val="32"/>
          <w:lang w:bidi="ar-SA"/>
        </w:rPr>
        <w:t>级重点龙头企业认定和运行监测工作方案，由</w:t>
      </w:r>
      <w:r>
        <w:rPr>
          <w:rFonts w:hint="eastAsia" w:ascii="仿宋" w:hAnsi="仿宋" w:eastAsia="仿宋" w:cs="仿宋"/>
          <w:bCs/>
          <w:sz w:val="32"/>
          <w:szCs w:val="32"/>
          <w:lang w:eastAsia="zh-CN" w:bidi="ar-SA"/>
        </w:rPr>
        <w:t>市</w:t>
      </w:r>
      <w:r>
        <w:rPr>
          <w:rFonts w:hint="eastAsia" w:ascii="仿宋" w:hAnsi="仿宋" w:eastAsia="仿宋" w:cs="仿宋"/>
          <w:bCs/>
          <w:sz w:val="32"/>
          <w:szCs w:val="32"/>
          <w:lang w:bidi="ar-SA"/>
        </w:rPr>
        <w:t>农业农村</w:t>
      </w:r>
      <w:r>
        <w:rPr>
          <w:rFonts w:hint="eastAsia" w:ascii="仿宋" w:hAnsi="仿宋" w:eastAsia="仿宋" w:cs="仿宋"/>
          <w:bCs/>
          <w:sz w:val="32"/>
          <w:szCs w:val="32"/>
          <w:lang w:eastAsia="zh-CN" w:bidi="ar-SA"/>
        </w:rPr>
        <w:t>局</w:t>
      </w:r>
      <w:r>
        <w:rPr>
          <w:rFonts w:hint="eastAsia" w:ascii="仿宋" w:hAnsi="仿宋" w:eastAsia="仿宋" w:cs="仿宋"/>
          <w:bCs/>
          <w:sz w:val="32"/>
          <w:szCs w:val="32"/>
          <w:lang w:bidi="ar-SA"/>
        </w:rPr>
        <w:t>商</w:t>
      </w:r>
      <w:r>
        <w:rPr>
          <w:rFonts w:hint="eastAsia" w:ascii="仿宋" w:hAnsi="仿宋" w:eastAsia="仿宋" w:cs="仿宋"/>
          <w:bCs/>
          <w:sz w:val="32"/>
          <w:szCs w:val="32"/>
          <w:lang w:eastAsia="zh-CN" w:bidi="ar-SA"/>
        </w:rPr>
        <w:t>工作领导小组</w:t>
      </w:r>
      <w:r>
        <w:rPr>
          <w:rFonts w:hint="eastAsia" w:ascii="仿宋" w:hAnsi="仿宋" w:eastAsia="仿宋" w:cs="仿宋"/>
          <w:bCs/>
          <w:sz w:val="32"/>
          <w:szCs w:val="32"/>
          <w:lang w:bidi="ar-SA"/>
        </w:rPr>
        <w:t>其他成员单位提出。</w:t>
      </w:r>
    </w:p>
    <w:p>
      <w:pPr>
        <w:pStyle w:val="4"/>
        <w:keepNext w:val="0"/>
        <w:keepLines w:val="0"/>
        <w:pageBreakBefore w:val="0"/>
        <w:shd w:val="clear" w:color="auto" w:fill="FFFFFF"/>
        <w:kinsoku/>
        <w:wordWrap/>
        <w:overflowPunct/>
        <w:topLinePunct w:val="0"/>
        <w:autoSpaceDE/>
        <w:autoSpaceDN/>
        <w:bidi w:val="0"/>
        <w:spacing w:line="560" w:lineRule="exact"/>
        <w:ind w:firstLine="640" w:firstLineChars="200"/>
        <w:jc w:val="both"/>
        <w:rPr>
          <w:rFonts w:hint="eastAsia" w:ascii="仿宋" w:hAnsi="仿宋" w:eastAsia="仿宋" w:cs="仿宋"/>
          <w:bCs/>
          <w:kern w:val="0"/>
          <w:sz w:val="32"/>
          <w:szCs w:val="32"/>
        </w:rPr>
      </w:pPr>
      <w:r>
        <w:rPr>
          <w:rFonts w:hint="eastAsia" w:ascii="仿宋" w:hAnsi="仿宋" w:eastAsia="仿宋" w:cs="仿宋"/>
          <w:color w:val="333333"/>
          <w:kern w:val="0"/>
          <w:sz w:val="32"/>
          <w:szCs w:val="32"/>
        </w:rPr>
        <w:t>第十一条　</w:t>
      </w:r>
      <w:r>
        <w:rPr>
          <w:rFonts w:hint="eastAsia" w:ascii="仿宋" w:hAnsi="仿宋" w:eastAsia="仿宋" w:cs="仿宋"/>
          <w:bCs/>
          <w:kern w:val="0"/>
          <w:sz w:val="32"/>
          <w:szCs w:val="32"/>
          <w:lang w:eastAsia="zh-CN"/>
        </w:rPr>
        <w:t>市</w:t>
      </w:r>
      <w:r>
        <w:rPr>
          <w:rFonts w:hint="eastAsia" w:ascii="仿宋" w:hAnsi="仿宋" w:eastAsia="仿宋" w:cs="仿宋"/>
          <w:bCs/>
          <w:kern w:val="0"/>
          <w:sz w:val="32"/>
          <w:szCs w:val="32"/>
        </w:rPr>
        <w:t>级重点龙头企业认定程序和办法</w:t>
      </w:r>
    </w:p>
    <w:p>
      <w:pPr>
        <w:pStyle w:val="4"/>
        <w:keepNext w:val="0"/>
        <w:keepLines w:val="0"/>
        <w:pageBreakBefore w:val="0"/>
        <w:shd w:val="clear" w:color="auto" w:fill="FFFFFF"/>
        <w:kinsoku/>
        <w:wordWrap/>
        <w:overflowPunct/>
        <w:topLinePunct w:val="0"/>
        <w:autoSpaceDE/>
        <w:autoSpaceDN/>
        <w:bidi w:val="0"/>
        <w:spacing w:line="560" w:lineRule="exact"/>
        <w:ind w:firstLine="640" w:firstLineChars="200"/>
        <w:jc w:val="both"/>
        <w:rPr>
          <w:rFonts w:hint="eastAsia" w:ascii="仿宋" w:hAnsi="仿宋" w:eastAsia="仿宋" w:cs="仿宋"/>
          <w:bCs/>
          <w:kern w:val="0"/>
          <w:sz w:val="32"/>
          <w:szCs w:val="32"/>
        </w:rPr>
      </w:pPr>
      <w:r>
        <w:rPr>
          <w:rFonts w:hint="eastAsia" w:ascii="仿宋" w:hAnsi="仿宋" w:eastAsia="仿宋" w:cs="仿宋"/>
          <w:bCs/>
          <w:kern w:val="0"/>
          <w:sz w:val="32"/>
          <w:szCs w:val="32"/>
        </w:rPr>
        <w:t>1.专家组</w:t>
      </w:r>
      <w:r>
        <w:rPr>
          <w:rFonts w:hint="eastAsia" w:ascii="仿宋" w:hAnsi="仿宋" w:eastAsia="仿宋" w:cs="仿宋"/>
          <w:bCs/>
          <w:kern w:val="0"/>
          <w:sz w:val="32"/>
          <w:szCs w:val="32"/>
          <w:lang w:eastAsia="zh-CN"/>
        </w:rPr>
        <w:t>或第三方服务机构</w:t>
      </w:r>
      <w:r>
        <w:rPr>
          <w:rFonts w:hint="eastAsia" w:ascii="仿宋" w:hAnsi="仿宋" w:eastAsia="仿宋" w:cs="仿宋"/>
          <w:bCs/>
          <w:kern w:val="0"/>
          <w:sz w:val="32"/>
          <w:szCs w:val="32"/>
        </w:rPr>
        <w:t>根据各区</w:t>
      </w:r>
      <w:r>
        <w:rPr>
          <w:rFonts w:hint="eastAsia" w:ascii="仿宋" w:hAnsi="仿宋" w:eastAsia="仿宋" w:cs="仿宋"/>
          <w:bCs/>
          <w:kern w:val="0"/>
          <w:sz w:val="32"/>
          <w:szCs w:val="32"/>
          <w:lang w:eastAsia="zh-CN"/>
        </w:rPr>
        <w:t>（管委会）</w:t>
      </w:r>
      <w:r>
        <w:rPr>
          <w:rFonts w:hint="eastAsia" w:ascii="仿宋" w:hAnsi="仿宋" w:eastAsia="仿宋" w:cs="仿宋"/>
          <w:bCs/>
          <w:kern w:val="0"/>
          <w:sz w:val="32"/>
          <w:szCs w:val="32"/>
        </w:rPr>
        <w:t>农业产业化主管部门上报的企业固定资产、销售收入等指标和相关材料进行评审，并吸纳相关部门意见建议后提出综合评审意见。</w:t>
      </w:r>
    </w:p>
    <w:p>
      <w:pPr>
        <w:pStyle w:val="4"/>
        <w:keepNext w:val="0"/>
        <w:keepLines w:val="0"/>
        <w:pageBreakBefore w:val="0"/>
        <w:shd w:val="clear" w:color="auto" w:fill="FFFFFF"/>
        <w:kinsoku/>
        <w:wordWrap/>
        <w:overflowPunct/>
        <w:topLinePunct w:val="0"/>
        <w:autoSpaceDE/>
        <w:autoSpaceDN/>
        <w:bidi w:val="0"/>
        <w:spacing w:line="560" w:lineRule="exact"/>
        <w:ind w:firstLine="640" w:firstLineChars="200"/>
        <w:jc w:val="both"/>
        <w:rPr>
          <w:rFonts w:hint="eastAsia" w:ascii="仿宋" w:hAnsi="仿宋" w:eastAsia="仿宋" w:cs="仿宋"/>
          <w:bCs/>
          <w:kern w:val="0"/>
          <w:sz w:val="32"/>
          <w:szCs w:val="32"/>
        </w:rPr>
      </w:pPr>
      <w:r>
        <w:rPr>
          <w:rFonts w:hint="eastAsia" w:ascii="仿宋" w:hAnsi="仿宋" w:eastAsia="仿宋" w:cs="仿宋"/>
          <w:bCs/>
          <w:kern w:val="0"/>
          <w:sz w:val="32"/>
          <w:szCs w:val="32"/>
        </w:rPr>
        <w:t>2.</w:t>
      </w:r>
      <w:r>
        <w:rPr>
          <w:rFonts w:hint="eastAsia" w:ascii="仿宋" w:hAnsi="仿宋" w:eastAsia="仿宋" w:cs="仿宋"/>
          <w:bCs/>
          <w:kern w:val="0"/>
          <w:sz w:val="32"/>
          <w:szCs w:val="32"/>
          <w:lang w:eastAsia="zh-CN"/>
        </w:rPr>
        <w:t>市</w:t>
      </w:r>
      <w:r>
        <w:rPr>
          <w:rFonts w:hint="eastAsia" w:ascii="仿宋" w:hAnsi="仿宋" w:eastAsia="仿宋" w:cs="仿宋"/>
          <w:bCs/>
          <w:kern w:val="0"/>
          <w:sz w:val="32"/>
          <w:szCs w:val="32"/>
        </w:rPr>
        <w:t>农业农村</w:t>
      </w:r>
      <w:r>
        <w:rPr>
          <w:rFonts w:hint="eastAsia" w:ascii="仿宋" w:hAnsi="仿宋" w:eastAsia="仿宋" w:cs="仿宋"/>
          <w:bCs/>
          <w:kern w:val="0"/>
          <w:sz w:val="32"/>
          <w:szCs w:val="32"/>
          <w:lang w:eastAsia="zh-CN"/>
        </w:rPr>
        <w:t>局</w:t>
      </w:r>
      <w:r>
        <w:rPr>
          <w:rFonts w:hint="eastAsia" w:ascii="仿宋" w:hAnsi="仿宋" w:eastAsia="仿宋" w:cs="仿宋"/>
          <w:bCs/>
          <w:kern w:val="0"/>
          <w:sz w:val="32"/>
          <w:szCs w:val="32"/>
        </w:rPr>
        <w:t>汇总专家组</w:t>
      </w:r>
      <w:r>
        <w:rPr>
          <w:rFonts w:hint="eastAsia" w:ascii="仿宋" w:hAnsi="仿宋" w:eastAsia="仿宋" w:cs="仿宋"/>
          <w:bCs/>
          <w:kern w:val="0"/>
          <w:sz w:val="32"/>
          <w:szCs w:val="32"/>
          <w:lang w:eastAsia="zh-CN"/>
        </w:rPr>
        <w:t>或第三方服务机构的</w:t>
      </w:r>
      <w:r>
        <w:rPr>
          <w:rFonts w:hint="eastAsia" w:ascii="仿宋" w:hAnsi="仿宋" w:eastAsia="仿宋" w:cs="仿宋"/>
          <w:bCs/>
          <w:kern w:val="0"/>
          <w:sz w:val="32"/>
          <w:szCs w:val="32"/>
        </w:rPr>
        <w:t>评审意见，报</w:t>
      </w:r>
      <w:r>
        <w:rPr>
          <w:rFonts w:hint="eastAsia" w:ascii="仿宋" w:hAnsi="仿宋" w:eastAsia="仿宋" w:cs="仿宋"/>
          <w:bCs/>
          <w:kern w:val="0"/>
          <w:sz w:val="32"/>
          <w:szCs w:val="32"/>
          <w:lang w:eastAsia="zh-CN"/>
        </w:rPr>
        <w:t>工作领导小组</w:t>
      </w:r>
      <w:r>
        <w:rPr>
          <w:rFonts w:hint="eastAsia" w:ascii="仿宋" w:hAnsi="仿宋" w:eastAsia="仿宋" w:cs="仿宋"/>
          <w:bCs/>
          <w:kern w:val="0"/>
          <w:sz w:val="32"/>
          <w:szCs w:val="32"/>
        </w:rPr>
        <w:t>审定后将符合条件的企业名单对外公示。</w:t>
      </w:r>
    </w:p>
    <w:p>
      <w:pPr>
        <w:pStyle w:val="4"/>
        <w:keepNext w:val="0"/>
        <w:keepLines w:val="0"/>
        <w:pageBreakBefore w:val="0"/>
        <w:shd w:val="clear" w:color="auto" w:fill="FFFFFF"/>
        <w:kinsoku/>
        <w:wordWrap/>
        <w:overflowPunct/>
        <w:topLinePunct w:val="0"/>
        <w:autoSpaceDE/>
        <w:autoSpaceDN/>
        <w:bidi w:val="0"/>
        <w:spacing w:line="560" w:lineRule="exact"/>
        <w:ind w:firstLine="640" w:firstLineChars="200"/>
        <w:jc w:val="both"/>
        <w:rPr>
          <w:rFonts w:hint="eastAsia" w:ascii="仿宋" w:hAnsi="仿宋" w:eastAsia="仿宋" w:cs="仿宋"/>
          <w:bCs/>
          <w:kern w:val="0"/>
          <w:sz w:val="32"/>
          <w:szCs w:val="32"/>
        </w:rPr>
      </w:pPr>
      <w:r>
        <w:rPr>
          <w:rFonts w:hint="eastAsia" w:ascii="仿宋" w:hAnsi="仿宋" w:eastAsia="仿宋" w:cs="仿宋"/>
          <w:bCs/>
          <w:kern w:val="0"/>
          <w:sz w:val="32"/>
          <w:szCs w:val="32"/>
        </w:rPr>
        <w:t>3.</w:t>
      </w:r>
      <w:r>
        <w:rPr>
          <w:rFonts w:hint="eastAsia" w:ascii="仿宋" w:hAnsi="仿宋" w:eastAsia="仿宋" w:cs="仿宋"/>
          <w:bCs/>
          <w:kern w:val="0"/>
          <w:sz w:val="32"/>
          <w:szCs w:val="32"/>
          <w:lang w:eastAsia="zh-CN"/>
        </w:rPr>
        <w:t>市</w:t>
      </w:r>
      <w:r>
        <w:rPr>
          <w:rFonts w:hint="eastAsia" w:ascii="仿宋" w:hAnsi="仿宋" w:eastAsia="仿宋" w:cs="仿宋"/>
          <w:bCs/>
          <w:kern w:val="0"/>
          <w:sz w:val="32"/>
          <w:szCs w:val="32"/>
        </w:rPr>
        <w:t>农业农村</w:t>
      </w:r>
      <w:r>
        <w:rPr>
          <w:rFonts w:hint="eastAsia" w:ascii="仿宋" w:hAnsi="仿宋" w:eastAsia="仿宋" w:cs="仿宋"/>
          <w:bCs/>
          <w:kern w:val="0"/>
          <w:sz w:val="32"/>
          <w:szCs w:val="32"/>
          <w:lang w:eastAsia="zh-CN"/>
        </w:rPr>
        <w:t>局</w:t>
      </w:r>
      <w:r>
        <w:rPr>
          <w:rFonts w:hint="eastAsia" w:ascii="仿宋" w:hAnsi="仿宋" w:eastAsia="仿宋" w:cs="仿宋"/>
          <w:bCs/>
          <w:kern w:val="0"/>
          <w:sz w:val="32"/>
          <w:szCs w:val="32"/>
        </w:rPr>
        <w:t>将公示无异议的企业名单报</w:t>
      </w:r>
      <w:r>
        <w:rPr>
          <w:rFonts w:hint="eastAsia" w:ascii="仿宋" w:hAnsi="仿宋" w:eastAsia="仿宋" w:cs="仿宋"/>
          <w:bCs/>
          <w:kern w:val="0"/>
          <w:sz w:val="32"/>
          <w:szCs w:val="32"/>
          <w:lang w:eastAsia="zh-CN"/>
        </w:rPr>
        <w:t>市</w:t>
      </w:r>
      <w:r>
        <w:rPr>
          <w:rFonts w:hint="eastAsia" w:ascii="仿宋" w:hAnsi="仿宋" w:eastAsia="仿宋" w:cs="仿宋"/>
          <w:bCs/>
          <w:kern w:val="0"/>
          <w:sz w:val="32"/>
          <w:szCs w:val="32"/>
        </w:rPr>
        <w:t>政府批准后，由农业、发改、财政、商务、</w:t>
      </w:r>
      <w:r>
        <w:rPr>
          <w:rFonts w:hint="eastAsia" w:ascii="仿宋" w:hAnsi="仿宋" w:eastAsia="仿宋" w:cs="仿宋"/>
          <w:bCs/>
          <w:kern w:val="0"/>
          <w:sz w:val="32"/>
          <w:szCs w:val="32"/>
          <w:lang w:eastAsia="zh-CN"/>
        </w:rPr>
        <w:t>市政园林</w:t>
      </w:r>
      <w:r>
        <w:rPr>
          <w:rFonts w:hint="eastAsia" w:ascii="仿宋" w:hAnsi="仿宋" w:eastAsia="仿宋" w:cs="仿宋"/>
          <w:bCs/>
          <w:kern w:val="0"/>
          <w:sz w:val="32"/>
          <w:szCs w:val="32"/>
        </w:rPr>
        <w:t>、海洋、人行、税务、金融监管、证监、供销等部门联合认定为</w:t>
      </w:r>
      <w:r>
        <w:rPr>
          <w:rFonts w:hint="eastAsia" w:ascii="仿宋" w:hAnsi="仿宋" w:eastAsia="仿宋" w:cs="仿宋"/>
          <w:bCs/>
          <w:kern w:val="0"/>
          <w:sz w:val="32"/>
          <w:szCs w:val="32"/>
          <w:lang w:eastAsia="zh-CN"/>
        </w:rPr>
        <w:t>市</w:t>
      </w:r>
      <w:r>
        <w:rPr>
          <w:rFonts w:hint="eastAsia" w:ascii="仿宋" w:hAnsi="仿宋" w:eastAsia="仿宋" w:cs="仿宋"/>
          <w:bCs/>
          <w:kern w:val="0"/>
          <w:sz w:val="32"/>
          <w:szCs w:val="32"/>
        </w:rPr>
        <w:t>级重点龙头企业并发文公布、颁发证书。</w:t>
      </w:r>
    </w:p>
    <w:p>
      <w:pPr>
        <w:pStyle w:val="4"/>
        <w:keepNext w:val="0"/>
        <w:keepLines w:val="0"/>
        <w:pageBreakBefore w:val="0"/>
        <w:shd w:val="clear" w:color="auto" w:fill="FFFFFF"/>
        <w:kinsoku/>
        <w:wordWrap/>
        <w:overflowPunct/>
        <w:topLinePunct w:val="0"/>
        <w:autoSpaceDE/>
        <w:autoSpaceDN/>
        <w:bidi w:val="0"/>
        <w:spacing w:line="560" w:lineRule="exact"/>
        <w:ind w:firstLine="640" w:firstLineChars="200"/>
        <w:jc w:val="both"/>
        <w:rPr>
          <w:rFonts w:hint="eastAsia" w:ascii="仿宋" w:hAnsi="仿宋" w:eastAsia="仿宋" w:cs="仿宋"/>
          <w:bCs/>
          <w:color w:val="333333"/>
          <w:kern w:val="0"/>
          <w:sz w:val="32"/>
          <w:szCs w:val="32"/>
          <w:lang w:val="en-US" w:eastAsia="zh-CN"/>
        </w:rPr>
      </w:pPr>
      <w:r>
        <w:rPr>
          <w:rFonts w:hint="eastAsia" w:ascii="仿宋" w:hAnsi="仿宋" w:eastAsia="仿宋" w:cs="仿宋"/>
          <w:bCs/>
          <w:color w:val="333333"/>
          <w:kern w:val="0"/>
          <w:sz w:val="32"/>
          <w:szCs w:val="32"/>
          <w:lang w:eastAsia="zh-CN"/>
        </w:rPr>
        <w:t>第十二条</w:t>
      </w:r>
      <w:r>
        <w:rPr>
          <w:rFonts w:hint="eastAsia" w:ascii="仿宋" w:hAnsi="仿宋" w:eastAsia="仿宋" w:cs="仿宋"/>
          <w:bCs/>
          <w:color w:val="333333"/>
          <w:kern w:val="0"/>
          <w:sz w:val="32"/>
          <w:szCs w:val="32"/>
          <w:lang w:val="en-US" w:eastAsia="zh-CN"/>
        </w:rPr>
        <w:t xml:space="preserve">  </w:t>
      </w:r>
      <w:r>
        <w:rPr>
          <w:rFonts w:hint="eastAsia" w:ascii="仿宋" w:hAnsi="仿宋" w:eastAsia="仿宋" w:cs="仿宋"/>
          <w:b w:val="0"/>
          <w:bCs/>
          <w:color w:val="333333"/>
          <w:kern w:val="0"/>
          <w:sz w:val="32"/>
          <w:szCs w:val="32"/>
          <w:lang w:val="en-US" w:eastAsia="zh-CN"/>
        </w:rPr>
        <w:t>对已上市或列入市级重点上市后备企业名单的、达到本办法认定标准并已完成股改、与券商签约的企业，可直接认定为市级重点龙头企业。</w:t>
      </w:r>
    </w:p>
    <w:p>
      <w:pPr>
        <w:pStyle w:val="4"/>
        <w:keepNext w:val="0"/>
        <w:keepLines w:val="0"/>
        <w:pageBreakBefore w:val="0"/>
        <w:shd w:val="clear" w:color="auto" w:fill="FFFFFF"/>
        <w:kinsoku/>
        <w:wordWrap/>
        <w:overflowPunct/>
        <w:topLinePunct w:val="0"/>
        <w:autoSpaceDE/>
        <w:autoSpaceDN/>
        <w:bidi w:val="0"/>
        <w:spacing w:line="560" w:lineRule="exact"/>
        <w:ind w:firstLine="640" w:firstLineChars="200"/>
        <w:jc w:val="both"/>
        <w:rPr>
          <w:rFonts w:hint="eastAsia" w:ascii="仿宋" w:hAnsi="仿宋" w:eastAsia="仿宋" w:cs="仿宋"/>
          <w:bCs/>
          <w:kern w:val="0"/>
          <w:sz w:val="32"/>
          <w:szCs w:val="32"/>
        </w:rPr>
      </w:pPr>
      <w:r>
        <w:rPr>
          <w:rFonts w:hint="eastAsia" w:ascii="仿宋" w:hAnsi="仿宋" w:eastAsia="仿宋" w:cs="仿宋"/>
          <w:bCs/>
          <w:color w:val="333333"/>
          <w:kern w:val="0"/>
          <w:sz w:val="32"/>
          <w:szCs w:val="32"/>
        </w:rPr>
        <w:t>第十</w:t>
      </w:r>
      <w:r>
        <w:rPr>
          <w:rFonts w:hint="eastAsia" w:ascii="仿宋" w:hAnsi="仿宋" w:eastAsia="仿宋" w:cs="仿宋"/>
          <w:bCs/>
          <w:color w:val="333333"/>
          <w:kern w:val="0"/>
          <w:sz w:val="32"/>
          <w:szCs w:val="32"/>
          <w:lang w:eastAsia="zh-CN"/>
        </w:rPr>
        <w:t>三</w:t>
      </w:r>
      <w:r>
        <w:rPr>
          <w:rFonts w:hint="eastAsia" w:ascii="仿宋" w:hAnsi="仿宋" w:eastAsia="仿宋" w:cs="仿宋"/>
          <w:bCs/>
          <w:color w:val="333333"/>
          <w:kern w:val="0"/>
          <w:sz w:val="32"/>
          <w:szCs w:val="32"/>
        </w:rPr>
        <w:t xml:space="preserve">条  </w:t>
      </w:r>
      <w:r>
        <w:rPr>
          <w:rFonts w:hint="eastAsia" w:ascii="仿宋" w:hAnsi="仿宋" w:eastAsia="仿宋" w:cs="仿宋"/>
          <w:bCs/>
          <w:kern w:val="0"/>
          <w:sz w:val="32"/>
          <w:szCs w:val="32"/>
        </w:rPr>
        <w:t>经认定公布的</w:t>
      </w:r>
      <w:r>
        <w:rPr>
          <w:rFonts w:hint="eastAsia" w:ascii="仿宋" w:hAnsi="仿宋" w:eastAsia="仿宋" w:cs="仿宋"/>
          <w:bCs/>
          <w:kern w:val="0"/>
          <w:sz w:val="32"/>
          <w:szCs w:val="32"/>
          <w:lang w:eastAsia="zh-CN"/>
        </w:rPr>
        <w:t>市</w:t>
      </w:r>
      <w:r>
        <w:rPr>
          <w:rFonts w:hint="eastAsia" w:ascii="仿宋" w:hAnsi="仿宋" w:eastAsia="仿宋" w:cs="仿宋"/>
          <w:bCs/>
          <w:kern w:val="0"/>
          <w:sz w:val="32"/>
          <w:szCs w:val="32"/>
        </w:rPr>
        <w:t>级重点龙头企业，享受有关优惠政策。</w:t>
      </w:r>
      <w:r>
        <w:rPr>
          <w:rFonts w:hint="eastAsia" w:ascii="仿宋" w:hAnsi="仿宋" w:eastAsia="仿宋" w:cs="仿宋"/>
          <w:bCs/>
          <w:kern w:val="0"/>
          <w:sz w:val="32"/>
          <w:szCs w:val="32"/>
          <w:lang w:eastAsia="zh-CN"/>
        </w:rPr>
        <w:t>市</w:t>
      </w:r>
      <w:r>
        <w:rPr>
          <w:rFonts w:hint="eastAsia" w:ascii="仿宋" w:hAnsi="仿宋" w:eastAsia="仿宋" w:cs="仿宋"/>
          <w:bCs/>
          <w:kern w:val="0"/>
          <w:sz w:val="32"/>
          <w:szCs w:val="32"/>
        </w:rPr>
        <w:t>级重点龙头企业所属的控股子公司，其直接控股比例超过50%（不含50%）的，且控股子公司以农产品生产、加工或流通为主业，可享受</w:t>
      </w:r>
      <w:r>
        <w:rPr>
          <w:rFonts w:hint="eastAsia" w:ascii="仿宋" w:hAnsi="仿宋" w:eastAsia="仿宋" w:cs="仿宋"/>
          <w:bCs/>
          <w:kern w:val="0"/>
          <w:sz w:val="32"/>
          <w:szCs w:val="32"/>
          <w:lang w:eastAsia="zh-CN"/>
        </w:rPr>
        <w:t>市</w:t>
      </w:r>
      <w:r>
        <w:rPr>
          <w:rFonts w:hint="eastAsia" w:ascii="仿宋" w:hAnsi="仿宋" w:eastAsia="仿宋" w:cs="仿宋"/>
          <w:bCs/>
          <w:kern w:val="0"/>
          <w:sz w:val="32"/>
          <w:szCs w:val="32"/>
        </w:rPr>
        <w:t>级重点龙头企业的有关优惠政策。</w:t>
      </w:r>
    </w:p>
    <w:p>
      <w:pPr>
        <w:keepNext w:val="0"/>
        <w:keepLines w:val="0"/>
        <w:pageBreakBefore w:val="0"/>
        <w:kinsoku/>
        <w:wordWrap/>
        <w:overflowPunct/>
        <w:topLinePunct w:val="0"/>
        <w:autoSpaceDE/>
        <w:autoSpaceDN/>
        <w:bidi w:val="0"/>
        <w:spacing w:line="560" w:lineRule="exact"/>
        <w:rPr>
          <w:rFonts w:hint="eastAsia" w:ascii="仿宋" w:hAnsi="仿宋" w:eastAsia="仿宋" w:cs="仿宋"/>
          <w:sz w:val="32"/>
          <w:szCs w:val="32"/>
        </w:rPr>
      </w:pPr>
    </w:p>
    <w:p>
      <w:pPr>
        <w:keepNext w:val="0"/>
        <w:keepLines w:val="0"/>
        <w:pageBreakBefore w:val="0"/>
        <w:shd w:val="solid" w:color="FFFFFF" w:fill="auto"/>
        <w:kinsoku/>
        <w:wordWrap/>
        <w:overflowPunct/>
        <w:topLinePunct w:val="0"/>
        <w:autoSpaceDE/>
        <w:autoSpaceDN/>
        <w:bidi w:val="0"/>
        <w:adjustRightInd w:val="0"/>
        <w:snapToGrid w:val="0"/>
        <w:spacing w:line="560" w:lineRule="exact"/>
        <w:ind w:left="0"/>
        <w:jc w:val="center"/>
        <w:rPr>
          <w:rFonts w:hint="eastAsia" w:ascii="黑体" w:hAnsi="黑体" w:eastAsia="黑体" w:cs="黑体"/>
          <w:sz w:val="32"/>
          <w:szCs w:val="32"/>
        </w:rPr>
      </w:pPr>
      <w:r>
        <w:rPr>
          <w:rFonts w:hint="eastAsia" w:ascii="黑体" w:hAnsi="黑体" w:eastAsia="黑体" w:cs="黑体"/>
          <w:sz w:val="32"/>
          <w:szCs w:val="32"/>
        </w:rPr>
        <w:t>第四章  运行监测</w:t>
      </w:r>
    </w:p>
    <w:p>
      <w:pPr>
        <w:keepNext w:val="0"/>
        <w:keepLines w:val="0"/>
        <w:pageBreakBefore w:val="0"/>
        <w:kinsoku/>
        <w:wordWrap/>
        <w:overflowPunct/>
        <w:topLinePunct w:val="0"/>
        <w:autoSpaceDE/>
        <w:autoSpaceDN/>
        <w:bidi w:val="0"/>
        <w:spacing w:line="560" w:lineRule="exact"/>
        <w:rPr>
          <w:rFonts w:hint="eastAsia" w:ascii="黑体" w:hAnsi="黑体" w:eastAsia="黑体" w:cs="黑体"/>
          <w:sz w:val="32"/>
          <w:szCs w:val="32"/>
        </w:rPr>
      </w:pPr>
    </w:p>
    <w:p>
      <w:pPr>
        <w:keepNext w:val="0"/>
        <w:keepLines w:val="0"/>
        <w:pageBreakBefore w:val="0"/>
        <w:shd w:val="solid" w:color="FFFFFF" w:fill="auto"/>
        <w:kinsoku/>
        <w:wordWrap/>
        <w:overflowPunct/>
        <w:topLinePunct w:val="0"/>
        <w:autoSpaceDE/>
        <w:autoSpaceDN/>
        <w:bidi w:val="0"/>
        <w:adjustRightInd w:val="0"/>
        <w:snapToGrid w:val="0"/>
        <w:spacing w:line="560" w:lineRule="exact"/>
        <w:ind w:firstLine="640" w:firstLineChars="200"/>
        <w:rPr>
          <w:rFonts w:hint="eastAsia" w:ascii="仿宋" w:hAnsi="仿宋" w:eastAsia="仿宋" w:cs="仿宋"/>
          <w:bCs/>
          <w:kern w:val="0"/>
          <w:sz w:val="32"/>
          <w:szCs w:val="32"/>
        </w:rPr>
      </w:pPr>
      <w:r>
        <w:rPr>
          <w:rFonts w:hint="eastAsia" w:ascii="仿宋" w:hAnsi="仿宋" w:eastAsia="仿宋" w:cs="仿宋"/>
          <w:sz w:val="32"/>
          <w:szCs w:val="32"/>
        </w:rPr>
        <w:t xml:space="preserve">第十四条  </w:t>
      </w:r>
      <w:r>
        <w:rPr>
          <w:rFonts w:hint="eastAsia" w:ascii="仿宋" w:hAnsi="仿宋" w:eastAsia="仿宋" w:cs="仿宋"/>
          <w:bCs/>
          <w:kern w:val="0"/>
          <w:sz w:val="32"/>
          <w:szCs w:val="32"/>
        </w:rPr>
        <w:t>对</w:t>
      </w:r>
      <w:r>
        <w:rPr>
          <w:rFonts w:hint="eastAsia" w:ascii="仿宋" w:hAnsi="仿宋" w:eastAsia="仿宋" w:cs="仿宋"/>
          <w:bCs/>
          <w:kern w:val="0"/>
          <w:sz w:val="32"/>
          <w:szCs w:val="32"/>
          <w:lang w:eastAsia="zh-CN"/>
        </w:rPr>
        <w:t>市</w:t>
      </w:r>
      <w:r>
        <w:rPr>
          <w:rFonts w:hint="eastAsia" w:ascii="仿宋" w:hAnsi="仿宋" w:eastAsia="仿宋" w:cs="仿宋"/>
          <w:bCs/>
          <w:kern w:val="0"/>
          <w:sz w:val="32"/>
          <w:szCs w:val="32"/>
        </w:rPr>
        <w:t>级重点龙头企业实行日常监测和定期监测评估相结合的动态管理，建立竞争淘汰机制，做到有进有出。</w:t>
      </w:r>
    </w:p>
    <w:p>
      <w:pPr>
        <w:keepNext w:val="0"/>
        <w:keepLines w:val="0"/>
        <w:pageBreakBefore w:val="0"/>
        <w:shd w:val="solid" w:color="FFFFFF" w:fill="auto"/>
        <w:kinsoku/>
        <w:wordWrap/>
        <w:overflowPunct/>
        <w:topLinePunct w:val="0"/>
        <w:autoSpaceDE/>
        <w:autoSpaceDN/>
        <w:bidi w:val="0"/>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color w:val="333333"/>
          <w:sz w:val="32"/>
          <w:szCs w:val="32"/>
        </w:rPr>
        <w:t>第十五条</w:t>
      </w:r>
      <w:r>
        <w:rPr>
          <w:rFonts w:hint="eastAsia" w:ascii="仿宋" w:hAnsi="仿宋" w:eastAsia="仿宋" w:cs="仿宋"/>
          <w:sz w:val="32"/>
          <w:szCs w:val="32"/>
        </w:rPr>
        <w:t xml:space="preserve">  </w:t>
      </w:r>
      <w:r>
        <w:rPr>
          <w:rFonts w:hint="eastAsia" w:ascii="仿宋" w:hAnsi="仿宋" w:eastAsia="仿宋" w:cs="仿宋"/>
          <w:bCs/>
          <w:kern w:val="0"/>
          <w:sz w:val="32"/>
          <w:szCs w:val="32"/>
        </w:rPr>
        <w:t>日常监测工作由</w:t>
      </w:r>
      <w:r>
        <w:rPr>
          <w:rFonts w:hint="eastAsia" w:ascii="仿宋" w:hAnsi="仿宋" w:eastAsia="仿宋" w:cs="仿宋"/>
          <w:bCs/>
          <w:kern w:val="0"/>
          <w:sz w:val="32"/>
          <w:szCs w:val="32"/>
          <w:lang w:eastAsia="zh-CN"/>
        </w:rPr>
        <w:t>市</w:t>
      </w:r>
      <w:r>
        <w:rPr>
          <w:rFonts w:hint="eastAsia" w:ascii="仿宋" w:hAnsi="仿宋" w:eastAsia="仿宋" w:cs="仿宋"/>
          <w:bCs/>
          <w:kern w:val="0"/>
          <w:sz w:val="32"/>
          <w:szCs w:val="32"/>
        </w:rPr>
        <w:t>农业农村</w:t>
      </w:r>
      <w:r>
        <w:rPr>
          <w:rFonts w:hint="eastAsia" w:ascii="仿宋" w:hAnsi="仿宋" w:eastAsia="仿宋" w:cs="仿宋"/>
          <w:bCs/>
          <w:kern w:val="0"/>
          <w:sz w:val="32"/>
          <w:szCs w:val="32"/>
          <w:lang w:eastAsia="zh-CN"/>
        </w:rPr>
        <w:t>局</w:t>
      </w:r>
      <w:r>
        <w:rPr>
          <w:rFonts w:hint="eastAsia" w:ascii="仿宋" w:hAnsi="仿宋" w:eastAsia="仿宋" w:cs="仿宋"/>
          <w:bCs/>
          <w:kern w:val="0"/>
          <w:sz w:val="32"/>
          <w:szCs w:val="32"/>
        </w:rPr>
        <w:t>组织开展。企业通过</w:t>
      </w:r>
      <w:r>
        <w:rPr>
          <w:rFonts w:hint="eastAsia" w:ascii="仿宋" w:hAnsi="仿宋" w:eastAsia="仿宋" w:cs="仿宋"/>
          <w:bCs/>
          <w:kern w:val="0"/>
          <w:sz w:val="32"/>
          <w:szCs w:val="32"/>
          <w:lang w:eastAsia="zh-CN"/>
        </w:rPr>
        <w:t>定期</w:t>
      </w:r>
      <w:r>
        <w:rPr>
          <w:rFonts w:hint="eastAsia" w:ascii="仿宋" w:hAnsi="仿宋" w:eastAsia="仿宋" w:cs="仿宋"/>
          <w:bCs/>
          <w:kern w:val="0"/>
          <w:sz w:val="32"/>
          <w:szCs w:val="32"/>
        </w:rPr>
        <w:t>报送运行情况数据和信息。各</w:t>
      </w:r>
      <w:r>
        <w:rPr>
          <w:rFonts w:hint="eastAsia" w:ascii="仿宋" w:hAnsi="仿宋" w:eastAsia="仿宋" w:cs="仿宋"/>
          <w:bCs/>
          <w:kern w:val="0"/>
          <w:sz w:val="32"/>
          <w:szCs w:val="32"/>
          <w:lang w:eastAsia="zh-CN"/>
        </w:rPr>
        <w:t>区（管委会）</w:t>
      </w:r>
      <w:r>
        <w:rPr>
          <w:rFonts w:hint="eastAsia" w:ascii="仿宋" w:hAnsi="仿宋" w:eastAsia="仿宋" w:cs="仿宋"/>
          <w:bCs/>
          <w:kern w:val="0"/>
          <w:sz w:val="32"/>
          <w:szCs w:val="32"/>
        </w:rPr>
        <w:t>农业产业化主管部门应明确专人负责，加强监测信息报送的督促和审核，</w:t>
      </w:r>
      <w:r>
        <w:rPr>
          <w:rFonts w:hint="eastAsia" w:ascii="仿宋" w:hAnsi="仿宋" w:eastAsia="仿宋" w:cs="仿宋"/>
          <w:bCs/>
          <w:kern w:val="0"/>
          <w:sz w:val="32"/>
          <w:szCs w:val="32"/>
          <w:lang w:bidi="ar-SA"/>
        </w:rPr>
        <w:t>认真做好调查研究，及时掌握</w:t>
      </w:r>
      <w:r>
        <w:rPr>
          <w:rFonts w:hint="eastAsia" w:ascii="仿宋" w:hAnsi="仿宋" w:eastAsia="仿宋" w:cs="仿宋"/>
          <w:bCs/>
          <w:kern w:val="0"/>
          <w:sz w:val="32"/>
          <w:szCs w:val="32"/>
          <w:lang w:eastAsia="zh-CN" w:bidi="ar-SA"/>
        </w:rPr>
        <w:t>辖区内市</w:t>
      </w:r>
      <w:r>
        <w:rPr>
          <w:rFonts w:hint="eastAsia" w:ascii="仿宋" w:hAnsi="仿宋" w:eastAsia="仿宋" w:cs="仿宋"/>
          <w:bCs/>
          <w:kern w:val="0"/>
          <w:sz w:val="32"/>
          <w:szCs w:val="32"/>
          <w:lang w:bidi="ar-SA"/>
        </w:rPr>
        <w:t>级重点龙头企业的运行情况。</w:t>
      </w:r>
      <w:r>
        <w:rPr>
          <w:rFonts w:hint="eastAsia" w:ascii="仿宋" w:hAnsi="仿宋" w:eastAsia="仿宋" w:cs="仿宋"/>
          <w:bCs/>
          <w:kern w:val="0"/>
          <w:sz w:val="32"/>
          <w:szCs w:val="32"/>
        </w:rPr>
        <w:t>日常监测结果作为定期监测评估的重要依据。</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rPr>
          <w:rFonts w:hint="eastAsia" w:ascii="仿宋" w:hAnsi="仿宋" w:eastAsia="仿宋" w:cs="仿宋"/>
          <w:bCs/>
          <w:sz w:val="32"/>
          <w:szCs w:val="32"/>
          <w:lang w:bidi="ar-SA"/>
        </w:rPr>
      </w:pPr>
      <w:r>
        <w:rPr>
          <w:rFonts w:hint="eastAsia" w:ascii="仿宋" w:hAnsi="仿宋" w:eastAsia="仿宋" w:cs="仿宋"/>
          <w:color w:val="333333"/>
          <w:sz w:val="32"/>
          <w:szCs w:val="32"/>
        </w:rPr>
        <w:t xml:space="preserve">第十六条  </w:t>
      </w:r>
      <w:r>
        <w:rPr>
          <w:rFonts w:hint="eastAsia" w:ascii="仿宋" w:hAnsi="仿宋" w:eastAsia="仿宋" w:cs="仿宋"/>
          <w:bCs/>
          <w:sz w:val="32"/>
          <w:szCs w:val="32"/>
        </w:rPr>
        <w:t>定期监测评估工作由</w:t>
      </w:r>
      <w:r>
        <w:rPr>
          <w:rFonts w:hint="eastAsia" w:ascii="仿宋" w:hAnsi="仿宋" w:eastAsia="仿宋" w:cs="仿宋"/>
          <w:bCs/>
          <w:sz w:val="32"/>
          <w:szCs w:val="32"/>
          <w:lang w:eastAsia="zh-CN"/>
        </w:rPr>
        <w:t>市</w:t>
      </w:r>
      <w:r>
        <w:rPr>
          <w:rFonts w:hint="eastAsia" w:ascii="仿宋" w:hAnsi="仿宋" w:eastAsia="仿宋" w:cs="仿宋"/>
          <w:bCs/>
          <w:sz w:val="32"/>
          <w:szCs w:val="32"/>
        </w:rPr>
        <w:t>农业农村</w:t>
      </w:r>
      <w:r>
        <w:rPr>
          <w:rFonts w:hint="eastAsia" w:ascii="仿宋" w:hAnsi="仿宋" w:eastAsia="仿宋" w:cs="仿宋"/>
          <w:bCs/>
          <w:sz w:val="32"/>
          <w:szCs w:val="32"/>
          <w:lang w:eastAsia="zh-CN"/>
        </w:rPr>
        <w:t>局</w:t>
      </w:r>
      <w:r>
        <w:rPr>
          <w:rFonts w:hint="eastAsia" w:ascii="仿宋" w:hAnsi="仿宋" w:eastAsia="仿宋" w:cs="仿宋"/>
          <w:bCs/>
          <w:sz w:val="32"/>
          <w:szCs w:val="32"/>
        </w:rPr>
        <w:t>牵头组织开展，每两年一次，</w:t>
      </w:r>
      <w:r>
        <w:rPr>
          <w:rFonts w:hint="eastAsia" w:ascii="仿宋" w:hAnsi="仿宋" w:eastAsia="仿宋" w:cs="仿宋"/>
          <w:bCs/>
          <w:sz w:val="32"/>
          <w:szCs w:val="32"/>
          <w:lang w:bidi="ar-SA"/>
        </w:rPr>
        <w:t>淘汰监测不合格的企业，并增补符合条件的企业。对新认定或近一轮监测合格的</w:t>
      </w:r>
      <w:r>
        <w:rPr>
          <w:rFonts w:hint="eastAsia" w:ascii="仿宋" w:hAnsi="仿宋" w:eastAsia="仿宋" w:cs="仿宋"/>
          <w:bCs/>
          <w:sz w:val="32"/>
          <w:szCs w:val="32"/>
          <w:lang w:eastAsia="zh-CN" w:bidi="ar-SA"/>
        </w:rPr>
        <w:t>省级以上</w:t>
      </w:r>
      <w:r>
        <w:rPr>
          <w:rFonts w:hint="eastAsia" w:ascii="仿宋" w:hAnsi="仿宋" w:eastAsia="仿宋" w:cs="仿宋"/>
          <w:bCs/>
          <w:sz w:val="32"/>
          <w:szCs w:val="32"/>
          <w:lang w:bidi="ar-SA"/>
        </w:rPr>
        <w:t>重点龙头企业无需再报送材料，直接通过监测。</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rPr>
          <w:rFonts w:hint="eastAsia" w:ascii="仿宋" w:hAnsi="仿宋" w:eastAsia="仿宋" w:cs="仿宋"/>
          <w:bCs/>
          <w:sz w:val="32"/>
          <w:szCs w:val="32"/>
          <w:lang w:bidi="ar-SA"/>
        </w:rPr>
      </w:pPr>
      <w:r>
        <w:rPr>
          <w:rFonts w:hint="eastAsia" w:ascii="仿宋" w:hAnsi="仿宋" w:eastAsia="仿宋" w:cs="仿宋"/>
          <w:color w:val="333333"/>
          <w:sz w:val="32"/>
          <w:szCs w:val="32"/>
          <w:lang w:bidi="ar-SA"/>
        </w:rPr>
        <w:t xml:space="preserve">第十七条  </w:t>
      </w:r>
      <w:r>
        <w:rPr>
          <w:rFonts w:hint="eastAsia" w:ascii="仿宋" w:hAnsi="仿宋" w:eastAsia="仿宋" w:cs="仿宋"/>
          <w:bCs/>
          <w:sz w:val="32"/>
          <w:szCs w:val="32"/>
          <w:lang w:bidi="ar-SA"/>
        </w:rPr>
        <w:t>监测评估的具体办法</w:t>
      </w:r>
    </w:p>
    <w:p>
      <w:pPr>
        <w:keepNext w:val="0"/>
        <w:keepLines w:val="0"/>
        <w:pageBreakBefore w:val="0"/>
        <w:shd w:val="solid" w:color="FFFFFF" w:fill="auto"/>
        <w:kinsoku/>
        <w:wordWrap/>
        <w:overflowPunct/>
        <w:topLinePunct w:val="0"/>
        <w:autoSpaceDE/>
        <w:autoSpaceDN/>
        <w:bidi w:val="0"/>
        <w:adjustRightInd w:val="0"/>
        <w:snapToGrid w:val="0"/>
        <w:spacing w:line="560" w:lineRule="exact"/>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1.企业报送材料。在监测年份，</w:t>
      </w:r>
      <w:r>
        <w:rPr>
          <w:rFonts w:hint="eastAsia" w:ascii="仿宋" w:hAnsi="仿宋" w:eastAsia="仿宋" w:cs="仿宋"/>
          <w:bCs/>
          <w:kern w:val="0"/>
          <w:sz w:val="32"/>
          <w:szCs w:val="32"/>
          <w:lang w:eastAsia="zh-CN"/>
        </w:rPr>
        <w:t>市</w:t>
      </w:r>
      <w:r>
        <w:rPr>
          <w:rFonts w:hint="eastAsia" w:ascii="仿宋" w:hAnsi="仿宋" w:eastAsia="仿宋" w:cs="仿宋"/>
          <w:bCs/>
          <w:kern w:val="0"/>
          <w:sz w:val="32"/>
          <w:szCs w:val="32"/>
        </w:rPr>
        <w:t>级重点龙头企业除报送企业经济运行情况表和年度发展报告外，还需报送经有资质的会计师事务所出具的企业年度财务审计报告。</w:t>
      </w:r>
    </w:p>
    <w:p>
      <w:pPr>
        <w:keepNext w:val="0"/>
        <w:keepLines w:val="0"/>
        <w:pageBreakBefore w:val="0"/>
        <w:shd w:val="solid" w:color="FFFFFF" w:fill="auto"/>
        <w:kinsoku/>
        <w:wordWrap/>
        <w:overflowPunct/>
        <w:topLinePunct w:val="0"/>
        <w:autoSpaceDE/>
        <w:autoSpaceDN/>
        <w:bidi w:val="0"/>
        <w:adjustRightInd w:val="0"/>
        <w:snapToGrid w:val="0"/>
        <w:spacing w:line="560" w:lineRule="exact"/>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2.材料汇总与核查。</w:t>
      </w:r>
      <w:r>
        <w:rPr>
          <w:rFonts w:hint="eastAsia" w:ascii="仿宋" w:hAnsi="仿宋" w:eastAsia="仿宋" w:cs="仿宋"/>
          <w:bCs/>
          <w:kern w:val="0"/>
          <w:sz w:val="32"/>
          <w:szCs w:val="32"/>
          <w:lang w:eastAsia="zh-CN"/>
        </w:rPr>
        <w:t>各区（管委会）</w:t>
      </w:r>
      <w:r>
        <w:rPr>
          <w:rFonts w:hint="eastAsia" w:ascii="仿宋" w:hAnsi="仿宋" w:eastAsia="仿宋" w:cs="仿宋"/>
          <w:bCs/>
          <w:kern w:val="0"/>
          <w:sz w:val="32"/>
          <w:szCs w:val="32"/>
        </w:rPr>
        <w:t>农业产业化主管部门对所辖</w:t>
      </w:r>
      <w:r>
        <w:rPr>
          <w:rFonts w:hint="eastAsia" w:ascii="仿宋" w:hAnsi="仿宋" w:eastAsia="仿宋" w:cs="仿宋"/>
          <w:bCs/>
          <w:kern w:val="0"/>
          <w:sz w:val="32"/>
          <w:szCs w:val="32"/>
          <w:lang w:eastAsia="zh-CN"/>
        </w:rPr>
        <w:t>市</w:t>
      </w:r>
      <w:r>
        <w:rPr>
          <w:rFonts w:hint="eastAsia" w:ascii="仿宋" w:hAnsi="仿宋" w:eastAsia="仿宋" w:cs="仿宋"/>
          <w:bCs/>
          <w:kern w:val="0"/>
          <w:sz w:val="32"/>
          <w:szCs w:val="32"/>
        </w:rPr>
        <w:t>级重点龙头企业所报材料进行汇总、核查。核查无误后报</w:t>
      </w:r>
      <w:r>
        <w:rPr>
          <w:rFonts w:hint="eastAsia" w:ascii="仿宋" w:hAnsi="仿宋" w:eastAsia="仿宋" w:cs="仿宋"/>
          <w:bCs/>
          <w:kern w:val="0"/>
          <w:sz w:val="32"/>
          <w:szCs w:val="32"/>
          <w:lang w:eastAsia="zh-CN"/>
        </w:rPr>
        <w:t>市</w:t>
      </w:r>
      <w:r>
        <w:rPr>
          <w:rFonts w:hint="eastAsia" w:ascii="仿宋" w:hAnsi="仿宋" w:eastAsia="仿宋" w:cs="仿宋"/>
          <w:bCs/>
          <w:kern w:val="0"/>
          <w:sz w:val="32"/>
          <w:szCs w:val="32"/>
        </w:rPr>
        <w:t>农业农村</w:t>
      </w:r>
      <w:r>
        <w:rPr>
          <w:rFonts w:hint="eastAsia" w:ascii="仿宋" w:hAnsi="仿宋" w:eastAsia="仿宋" w:cs="仿宋"/>
          <w:bCs/>
          <w:kern w:val="0"/>
          <w:sz w:val="32"/>
          <w:szCs w:val="32"/>
          <w:lang w:eastAsia="zh-CN"/>
        </w:rPr>
        <w:t>局</w:t>
      </w:r>
      <w:r>
        <w:rPr>
          <w:rFonts w:hint="eastAsia" w:ascii="仿宋" w:hAnsi="仿宋" w:eastAsia="仿宋" w:cs="仿宋"/>
          <w:bCs/>
          <w:kern w:val="0"/>
          <w:sz w:val="32"/>
          <w:szCs w:val="32"/>
        </w:rPr>
        <w:t>。</w:t>
      </w:r>
    </w:p>
    <w:p>
      <w:pPr>
        <w:keepNext w:val="0"/>
        <w:keepLines w:val="0"/>
        <w:pageBreakBefore w:val="0"/>
        <w:shd w:val="solid" w:color="FFFFFF" w:fill="auto"/>
        <w:kinsoku/>
        <w:wordWrap/>
        <w:overflowPunct/>
        <w:topLinePunct w:val="0"/>
        <w:autoSpaceDE/>
        <w:autoSpaceDN/>
        <w:bidi w:val="0"/>
        <w:adjustRightInd w:val="0"/>
        <w:snapToGrid w:val="0"/>
        <w:spacing w:line="560" w:lineRule="exact"/>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3.专家评审。专家组根据企业报送的材料，按照本办法的要求进行评审，提出评审意见。</w:t>
      </w:r>
    </w:p>
    <w:p>
      <w:pPr>
        <w:keepNext w:val="0"/>
        <w:keepLines w:val="0"/>
        <w:pageBreakBefore w:val="0"/>
        <w:shd w:val="solid" w:color="FFFFFF" w:fill="auto"/>
        <w:kinsoku/>
        <w:wordWrap/>
        <w:overflowPunct/>
        <w:topLinePunct w:val="0"/>
        <w:autoSpaceDE/>
        <w:autoSpaceDN/>
        <w:bidi w:val="0"/>
        <w:adjustRightInd w:val="0"/>
        <w:snapToGrid w:val="0"/>
        <w:spacing w:line="560" w:lineRule="exact"/>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4.监测结果审定。根据专家组的评审意见，</w:t>
      </w:r>
      <w:r>
        <w:rPr>
          <w:rFonts w:hint="eastAsia" w:ascii="仿宋" w:hAnsi="仿宋" w:eastAsia="仿宋" w:cs="仿宋"/>
          <w:bCs/>
          <w:kern w:val="0"/>
          <w:sz w:val="32"/>
          <w:szCs w:val="32"/>
          <w:lang w:eastAsia="zh-CN"/>
        </w:rPr>
        <w:t>市</w:t>
      </w:r>
      <w:r>
        <w:rPr>
          <w:rFonts w:hint="eastAsia" w:ascii="仿宋" w:hAnsi="仿宋" w:eastAsia="仿宋" w:cs="仿宋"/>
          <w:bCs/>
          <w:kern w:val="0"/>
          <w:sz w:val="32"/>
          <w:szCs w:val="32"/>
        </w:rPr>
        <w:t>农业农村</w:t>
      </w:r>
      <w:r>
        <w:rPr>
          <w:rFonts w:hint="eastAsia" w:ascii="仿宋" w:hAnsi="仿宋" w:eastAsia="仿宋" w:cs="仿宋"/>
          <w:bCs/>
          <w:kern w:val="0"/>
          <w:sz w:val="32"/>
          <w:szCs w:val="32"/>
          <w:lang w:eastAsia="zh-CN"/>
        </w:rPr>
        <w:t>局</w:t>
      </w:r>
      <w:r>
        <w:rPr>
          <w:rFonts w:hint="eastAsia" w:ascii="仿宋" w:hAnsi="仿宋" w:eastAsia="仿宋" w:cs="仿宋"/>
          <w:bCs/>
          <w:kern w:val="0"/>
          <w:sz w:val="32"/>
          <w:szCs w:val="32"/>
        </w:rPr>
        <w:t>对</w:t>
      </w:r>
      <w:r>
        <w:rPr>
          <w:rFonts w:hint="eastAsia" w:ascii="仿宋" w:hAnsi="仿宋" w:eastAsia="仿宋" w:cs="仿宋"/>
          <w:bCs/>
          <w:kern w:val="0"/>
          <w:sz w:val="32"/>
          <w:szCs w:val="32"/>
          <w:lang w:eastAsia="zh-CN"/>
        </w:rPr>
        <w:t>市</w:t>
      </w:r>
      <w:r>
        <w:rPr>
          <w:rFonts w:hint="eastAsia" w:ascii="仿宋" w:hAnsi="仿宋" w:eastAsia="仿宋" w:cs="仿宋"/>
          <w:bCs/>
          <w:kern w:val="0"/>
          <w:sz w:val="32"/>
          <w:szCs w:val="32"/>
        </w:rPr>
        <w:t>级重点龙头企业的运行状况进行分析，完成监测报告并提交</w:t>
      </w:r>
      <w:r>
        <w:rPr>
          <w:rFonts w:hint="eastAsia" w:ascii="仿宋" w:hAnsi="仿宋" w:eastAsia="仿宋" w:cs="仿宋"/>
          <w:bCs/>
          <w:kern w:val="0"/>
          <w:sz w:val="32"/>
          <w:szCs w:val="32"/>
          <w:lang w:eastAsia="zh-CN"/>
        </w:rPr>
        <w:t>工作领导小组</w:t>
      </w:r>
      <w:r>
        <w:rPr>
          <w:rFonts w:hint="eastAsia" w:ascii="仿宋" w:hAnsi="仿宋" w:eastAsia="仿宋" w:cs="仿宋"/>
          <w:bCs/>
          <w:kern w:val="0"/>
          <w:sz w:val="32"/>
          <w:szCs w:val="32"/>
        </w:rPr>
        <w:t>审定。</w:t>
      </w:r>
      <w:r>
        <w:rPr>
          <w:rFonts w:hint="eastAsia" w:ascii="仿宋" w:hAnsi="仿宋" w:eastAsia="仿宋" w:cs="仿宋"/>
          <w:bCs/>
          <w:kern w:val="0"/>
          <w:sz w:val="32"/>
          <w:szCs w:val="32"/>
          <w:lang w:eastAsia="zh-CN"/>
        </w:rPr>
        <w:t>市</w:t>
      </w:r>
      <w:r>
        <w:rPr>
          <w:rFonts w:hint="eastAsia" w:ascii="仿宋" w:hAnsi="仿宋" w:eastAsia="仿宋" w:cs="仿宋"/>
          <w:bCs/>
          <w:kern w:val="0"/>
          <w:sz w:val="32"/>
          <w:szCs w:val="32"/>
        </w:rPr>
        <w:t>农业农村</w:t>
      </w:r>
      <w:r>
        <w:rPr>
          <w:rFonts w:hint="eastAsia" w:ascii="仿宋" w:hAnsi="仿宋" w:eastAsia="仿宋" w:cs="仿宋"/>
          <w:bCs/>
          <w:kern w:val="0"/>
          <w:sz w:val="32"/>
          <w:szCs w:val="32"/>
          <w:lang w:eastAsia="zh-CN"/>
        </w:rPr>
        <w:t>局</w:t>
      </w:r>
      <w:r>
        <w:rPr>
          <w:rFonts w:hint="eastAsia" w:ascii="仿宋" w:hAnsi="仿宋" w:eastAsia="仿宋" w:cs="仿宋"/>
          <w:bCs/>
          <w:kern w:val="0"/>
          <w:sz w:val="32"/>
          <w:szCs w:val="32"/>
        </w:rPr>
        <w:t>以适当形式向社会公布监测结果。</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rPr>
          <w:rFonts w:hint="eastAsia" w:ascii="仿宋" w:hAnsi="仿宋" w:eastAsia="仿宋" w:cs="仿宋"/>
          <w:color w:val="auto"/>
          <w:sz w:val="32"/>
          <w:szCs w:val="32"/>
          <w:lang w:bidi="ar-SA"/>
        </w:rPr>
      </w:pPr>
      <w:r>
        <w:rPr>
          <w:rFonts w:hint="eastAsia" w:ascii="仿宋" w:hAnsi="仿宋" w:eastAsia="仿宋" w:cs="仿宋"/>
          <w:bCs/>
          <w:sz w:val="32"/>
          <w:szCs w:val="32"/>
        </w:rPr>
        <w:t>对因违法违规发生重大质量安全事故、上市违规操作、存在坑农害农等违法违规行为的，</w:t>
      </w:r>
      <w:r>
        <w:rPr>
          <w:rFonts w:hint="eastAsia" w:ascii="仿宋" w:hAnsi="仿宋" w:eastAsia="仿宋" w:cs="仿宋"/>
          <w:bCs/>
          <w:sz w:val="32"/>
          <w:szCs w:val="32"/>
          <w:lang w:bidi="ar-SA"/>
        </w:rPr>
        <w:t>或被公布为重大税收违法案件当事人的，</w:t>
      </w:r>
      <w:r>
        <w:rPr>
          <w:rFonts w:hint="eastAsia" w:ascii="仿宋" w:hAnsi="仿宋" w:eastAsia="仿宋" w:cs="仿宋"/>
          <w:bCs/>
          <w:sz w:val="32"/>
          <w:szCs w:val="32"/>
        </w:rPr>
        <w:t>取消其</w:t>
      </w:r>
      <w:r>
        <w:rPr>
          <w:rFonts w:hint="eastAsia" w:ascii="仿宋" w:hAnsi="仿宋" w:eastAsia="仿宋" w:cs="仿宋"/>
          <w:bCs/>
          <w:sz w:val="32"/>
          <w:szCs w:val="32"/>
          <w:lang w:eastAsia="zh-CN"/>
        </w:rPr>
        <w:t>市</w:t>
      </w:r>
      <w:r>
        <w:rPr>
          <w:rFonts w:hint="eastAsia" w:ascii="仿宋" w:hAnsi="仿宋" w:eastAsia="仿宋" w:cs="仿宋"/>
          <w:bCs/>
          <w:sz w:val="32"/>
          <w:szCs w:val="32"/>
        </w:rPr>
        <w:t>级重点龙头企业资格。</w:t>
      </w:r>
      <w:r>
        <w:rPr>
          <w:rFonts w:hint="eastAsia" w:ascii="仿宋" w:hAnsi="仿宋" w:eastAsia="仿宋" w:cs="仿宋"/>
          <w:bCs/>
          <w:sz w:val="32"/>
          <w:szCs w:val="32"/>
          <w:lang w:bidi="ar-SA"/>
        </w:rPr>
        <w:t>对在一个监测期（两年）内，企业不报送经济运行情况数据三次以上（含三次）的监测评估为不合格。</w:t>
      </w:r>
    </w:p>
    <w:p>
      <w:pPr>
        <w:keepNext w:val="0"/>
        <w:keepLines w:val="0"/>
        <w:pageBreakBefore w:val="0"/>
        <w:shd w:val="solid" w:color="FFFFFF" w:fill="auto"/>
        <w:kinsoku/>
        <w:wordWrap/>
        <w:overflowPunct/>
        <w:topLinePunct w:val="0"/>
        <w:autoSpaceDE/>
        <w:autoSpaceDN/>
        <w:bidi w:val="0"/>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第十八条</w:t>
      </w:r>
      <w:r>
        <w:rPr>
          <w:rFonts w:hint="eastAsia" w:ascii="仿宋" w:hAnsi="仿宋" w:eastAsia="仿宋" w:cs="仿宋"/>
          <w:color w:val="333333"/>
          <w:sz w:val="32"/>
          <w:szCs w:val="32"/>
          <w:lang w:bidi="ar-SA"/>
        </w:rPr>
        <w:t xml:space="preserve">  </w:t>
      </w:r>
      <w:r>
        <w:rPr>
          <w:rFonts w:hint="eastAsia" w:ascii="仿宋" w:hAnsi="仿宋" w:eastAsia="仿宋" w:cs="仿宋"/>
          <w:bCs/>
          <w:kern w:val="0"/>
          <w:sz w:val="32"/>
          <w:szCs w:val="32"/>
        </w:rPr>
        <w:t>监测合格的</w:t>
      </w:r>
      <w:r>
        <w:rPr>
          <w:rFonts w:hint="eastAsia" w:ascii="仿宋" w:hAnsi="仿宋" w:eastAsia="仿宋" w:cs="仿宋"/>
          <w:bCs/>
          <w:kern w:val="0"/>
          <w:sz w:val="32"/>
          <w:szCs w:val="32"/>
          <w:lang w:eastAsia="zh-CN"/>
        </w:rPr>
        <w:t>市</w:t>
      </w:r>
      <w:r>
        <w:rPr>
          <w:rFonts w:hint="eastAsia" w:ascii="仿宋" w:hAnsi="仿宋" w:eastAsia="仿宋" w:cs="仿宋"/>
          <w:bCs/>
          <w:kern w:val="0"/>
          <w:sz w:val="32"/>
          <w:szCs w:val="32"/>
        </w:rPr>
        <w:t>级重点龙头企业，继续保留资格，享受有关优惠政策；监测不合格的或企业自愿申请退出的，取消其</w:t>
      </w:r>
      <w:r>
        <w:rPr>
          <w:rFonts w:hint="eastAsia" w:ascii="仿宋" w:hAnsi="仿宋" w:eastAsia="仿宋" w:cs="仿宋"/>
          <w:bCs/>
          <w:kern w:val="0"/>
          <w:sz w:val="32"/>
          <w:szCs w:val="32"/>
          <w:lang w:eastAsia="zh-CN"/>
        </w:rPr>
        <w:t>市</w:t>
      </w:r>
      <w:r>
        <w:rPr>
          <w:rFonts w:hint="eastAsia" w:ascii="仿宋" w:hAnsi="仿宋" w:eastAsia="仿宋" w:cs="仿宋"/>
          <w:bCs/>
          <w:kern w:val="0"/>
          <w:sz w:val="32"/>
          <w:szCs w:val="32"/>
        </w:rPr>
        <w:t>级重点龙头企业资格，不再享受有关优惠政策。</w:t>
      </w:r>
    </w:p>
    <w:p>
      <w:pPr>
        <w:keepNext w:val="0"/>
        <w:keepLines w:val="0"/>
        <w:pageBreakBefore w:val="0"/>
        <w:shd w:val="solid" w:color="FFFFFF" w:fill="auto"/>
        <w:kinsoku/>
        <w:wordWrap/>
        <w:overflowPunct/>
        <w:topLinePunct w:val="0"/>
        <w:autoSpaceDE/>
        <w:autoSpaceDN/>
        <w:bidi w:val="0"/>
        <w:adjustRightInd w:val="0"/>
        <w:snapToGrid w:val="0"/>
        <w:spacing w:line="560" w:lineRule="exact"/>
        <w:ind w:left="0"/>
        <w:jc w:val="center"/>
        <w:rPr>
          <w:rFonts w:hint="eastAsia" w:ascii="仿宋" w:hAnsi="仿宋" w:eastAsia="仿宋" w:cs="仿宋"/>
          <w:sz w:val="32"/>
          <w:szCs w:val="32"/>
        </w:rPr>
      </w:pPr>
    </w:p>
    <w:p>
      <w:pPr>
        <w:keepNext w:val="0"/>
        <w:keepLines w:val="0"/>
        <w:pageBreakBefore w:val="0"/>
        <w:shd w:val="solid" w:color="FFFFFF" w:fill="auto"/>
        <w:kinsoku/>
        <w:wordWrap/>
        <w:overflowPunct/>
        <w:topLinePunct w:val="0"/>
        <w:autoSpaceDE/>
        <w:autoSpaceDN/>
        <w:bidi w:val="0"/>
        <w:adjustRightInd w:val="0"/>
        <w:snapToGrid w:val="0"/>
        <w:spacing w:line="560" w:lineRule="exact"/>
        <w:ind w:left="0"/>
        <w:jc w:val="center"/>
        <w:rPr>
          <w:rFonts w:hint="eastAsia" w:ascii="黑体" w:hAnsi="黑体" w:eastAsia="黑体" w:cs="黑体"/>
          <w:sz w:val="32"/>
          <w:szCs w:val="32"/>
        </w:rPr>
      </w:pPr>
      <w:r>
        <w:rPr>
          <w:rFonts w:hint="eastAsia" w:ascii="黑体" w:hAnsi="黑体" w:eastAsia="黑体" w:cs="黑体"/>
          <w:sz w:val="32"/>
          <w:szCs w:val="32"/>
        </w:rPr>
        <w:t>第五章  附    则</w:t>
      </w:r>
    </w:p>
    <w:p>
      <w:pPr>
        <w:keepNext w:val="0"/>
        <w:keepLines w:val="0"/>
        <w:pageBreakBefore w:val="0"/>
        <w:kinsoku/>
        <w:wordWrap/>
        <w:overflowPunct/>
        <w:topLinePunct w:val="0"/>
        <w:autoSpaceDE/>
        <w:autoSpaceDN/>
        <w:bidi w:val="0"/>
        <w:spacing w:line="560" w:lineRule="exact"/>
        <w:rPr>
          <w:rFonts w:hint="eastAsia" w:ascii="仿宋" w:hAnsi="仿宋" w:eastAsia="仿宋" w:cs="仿宋"/>
          <w:sz w:val="32"/>
          <w:szCs w:val="32"/>
        </w:rPr>
      </w:pPr>
    </w:p>
    <w:p>
      <w:pPr>
        <w:keepNext w:val="0"/>
        <w:keepLines w:val="0"/>
        <w:pageBreakBefore w:val="0"/>
        <w:shd w:val="solid" w:color="FFFFFF" w:fill="auto"/>
        <w:kinsoku/>
        <w:wordWrap/>
        <w:overflowPunct/>
        <w:topLinePunct w:val="0"/>
        <w:autoSpaceDE/>
        <w:autoSpaceDN/>
        <w:bidi w:val="0"/>
        <w:adjustRightInd w:val="0"/>
        <w:snapToGrid w:val="0"/>
        <w:spacing w:line="560" w:lineRule="exact"/>
        <w:ind w:firstLine="640" w:firstLineChars="200"/>
        <w:rPr>
          <w:rFonts w:hint="eastAsia" w:ascii="仿宋" w:hAnsi="仿宋" w:eastAsia="仿宋" w:cs="仿宋"/>
          <w:bCs/>
          <w:kern w:val="0"/>
          <w:sz w:val="32"/>
          <w:szCs w:val="32"/>
        </w:rPr>
      </w:pPr>
      <w:r>
        <w:rPr>
          <w:rFonts w:hint="eastAsia" w:ascii="仿宋" w:hAnsi="仿宋" w:eastAsia="仿宋" w:cs="仿宋"/>
          <w:sz w:val="32"/>
          <w:szCs w:val="32"/>
        </w:rPr>
        <w:t xml:space="preserve">第十九条  </w:t>
      </w:r>
      <w:r>
        <w:rPr>
          <w:rFonts w:hint="eastAsia" w:ascii="仿宋" w:hAnsi="仿宋" w:eastAsia="仿宋" w:cs="仿宋"/>
          <w:bCs/>
          <w:kern w:val="0"/>
          <w:sz w:val="32"/>
          <w:szCs w:val="32"/>
        </w:rPr>
        <w:t>企业在申报</w:t>
      </w:r>
      <w:r>
        <w:rPr>
          <w:rFonts w:hint="eastAsia" w:ascii="仿宋" w:hAnsi="仿宋" w:eastAsia="仿宋" w:cs="仿宋"/>
          <w:bCs/>
          <w:kern w:val="0"/>
          <w:sz w:val="32"/>
          <w:szCs w:val="32"/>
          <w:lang w:eastAsia="zh-CN"/>
        </w:rPr>
        <w:t>市</w:t>
      </w:r>
      <w:r>
        <w:rPr>
          <w:rFonts w:hint="eastAsia" w:ascii="仿宋" w:hAnsi="仿宋" w:eastAsia="仿宋" w:cs="仿宋"/>
          <w:bCs/>
          <w:kern w:val="0"/>
          <w:sz w:val="32"/>
          <w:szCs w:val="32"/>
        </w:rPr>
        <w:t>级重点龙头企业或监测评估时应按要求如实提供有关材料，不得弄虚作假。如存在舞弊行为，一经查实，已经认定的企业取消资格、未认定的取消申报资格，4年内不得再行申报。</w:t>
      </w:r>
    </w:p>
    <w:p>
      <w:pPr>
        <w:keepNext w:val="0"/>
        <w:keepLines w:val="0"/>
        <w:pageBreakBefore w:val="0"/>
        <w:shd w:val="solid" w:color="FFFFFF" w:fill="auto"/>
        <w:kinsoku/>
        <w:wordWrap/>
        <w:overflowPunct/>
        <w:topLinePunct w:val="0"/>
        <w:autoSpaceDE/>
        <w:autoSpaceDN/>
        <w:bidi w:val="0"/>
        <w:adjustRightInd w:val="0"/>
        <w:snapToGrid w:val="0"/>
        <w:spacing w:line="560" w:lineRule="exact"/>
        <w:ind w:firstLine="640" w:firstLineChars="200"/>
        <w:rPr>
          <w:rFonts w:hint="eastAsia" w:ascii="仿宋" w:hAnsi="仿宋" w:eastAsia="仿宋" w:cs="仿宋"/>
          <w:color w:val="333333"/>
          <w:sz w:val="32"/>
          <w:szCs w:val="32"/>
          <w:lang w:bidi="ar-SA"/>
        </w:rPr>
      </w:pPr>
      <w:r>
        <w:rPr>
          <w:rFonts w:hint="eastAsia" w:ascii="仿宋" w:hAnsi="仿宋" w:eastAsia="仿宋" w:cs="仿宋"/>
          <w:color w:val="333333"/>
          <w:sz w:val="32"/>
          <w:szCs w:val="32"/>
          <w:lang w:bidi="ar-SA"/>
        </w:rPr>
        <w:t>第二十条</w:t>
      </w:r>
      <w:r>
        <w:rPr>
          <w:rFonts w:hint="eastAsia" w:ascii="仿宋" w:hAnsi="仿宋" w:eastAsia="仿宋" w:cs="仿宋"/>
          <w:sz w:val="32"/>
          <w:szCs w:val="32"/>
        </w:rPr>
        <w:t xml:space="preserve">  </w:t>
      </w:r>
      <w:r>
        <w:rPr>
          <w:rFonts w:hint="eastAsia" w:ascii="仿宋" w:hAnsi="仿宋" w:eastAsia="仿宋" w:cs="仿宋"/>
          <w:bCs/>
          <w:sz w:val="32"/>
          <w:szCs w:val="32"/>
          <w:lang w:bidi="ar-SA"/>
        </w:rPr>
        <w:t>对在申报、认定、监测评审工作中，不坚持公开、公平、公正原则，存在徇私舞弊行为的有关人员，按有关规定予以严肃查处。</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rPr>
          <w:rFonts w:hint="eastAsia" w:ascii="仿宋" w:hAnsi="仿宋" w:eastAsia="仿宋" w:cs="仿宋"/>
          <w:bCs/>
          <w:sz w:val="32"/>
          <w:szCs w:val="32"/>
          <w:lang w:bidi="ar-SA"/>
        </w:rPr>
      </w:pPr>
      <w:r>
        <w:rPr>
          <w:rFonts w:hint="eastAsia" w:ascii="仿宋" w:hAnsi="仿宋" w:eastAsia="仿宋" w:cs="仿宋"/>
          <w:color w:val="333333"/>
          <w:sz w:val="32"/>
          <w:szCs w:val="32"/>
          <w:lang w:bidi="ar-SA"/>
        </w:rPr>
        <w:t>第二十一条　</w:t>
      </w:r>
      <w:r>
        <w:rPr>
          <w:rFonts w:hint="eastAsia" w:ascii="仿宋" w:hAnsi="仿宋" w:eastAsia="仿宋" w:cs="仿宋"/>
          <w:bCs/>
          <w:sz w:val="32"/>
          <w:szCs w:val="32"/>
          <w:lang w:eastAsia="zh-CN" w:bidi="ar-SA"/>
        </w:rPr>
        <w:t>市</w:t>
      </w:r>
      <w:r>
        <w:rPr>
          <w:rFonts w:hint="eastAsia" w:ascii="仿宋" w:hAnsi="仿宋" w:eastAsia="仿宋" w:cs="仿宋"/>
          <w:bCs/>
          <w:sz w:val="32"/>
          <w:szCs w:val="32"/>
          <w:lang w:bidi="ar-SA"/>
        </w:rPr>
        <w:t>级重点龙头企业更改企业名称，应出具市场监督管理部门的营业执照等更名材料，</w:t>
      </w:r>
      <w:r>
        <w:rPr>
          <w:rFonts w:hint="eastAsia" w:ascii="仿宋" w:hAnsi="仿宋" w:eastAsia="仿宋" w:cs="仿宋"/>
          <w:bCs/>
          <w:sz w:val="32"/>
          <w:szCs w:val="32"/>
          <w:lang w:eastAsia="zh-CN" w:bidi="ar-SA"/>
        </w:rPr>
        <w:t>报市农业农村局备案</w:t>
      </w:r>
      <w:r>
        <w:rPr>
          <w:rFonts w:hint="eastAsia" w:ascii="仿宋" w:hAnsi="仿宋" w:eastAsia="仿宋" w:cs="仿宋"/>
          <w:bCs/>
          <w:sz w:val="32"/>
          <w:szCs w:val="32"/>
          <w:lang w:bidi="ar-SA"/>
        </w:rPr>
        <w:t>。</w:t>
      </w:r>
      <w:r>
        <w:rPr>
          <w:rFonts w:hint="eastAsia" w:ascii="仿宋" w:hAnsi="仿宋" w:eastAsia="仿宋" w:cs="仿宋"/>
          <w:bCs/>
          <w:sz w:val="32"/>
          <w:szCs w:val="32"/>
          <w:lang w:eastAsia="zh-CN" w:bidi="ar-SA"/>
        </w:rPr>
        <w:t>市农业农村局</w:t>
      </w:r>
      <w:r>
        <w:rPr>
          <w:rFonts w:hint="eastAsia" w:ascii="仿宋" w:hAnsi="仿宋" w:eastAsia="仿宋" w:cs="仿宋"/>
          <w:bCs/>
          <w:sz w:val="32"/>
          <w:szCs w:val="32"/>
          <w:lang w:bidi="ar-SA"/>
        </w:rPr>
        <w:t>应将企业更名情况及时通报</w:t>
      </w:r>
      <w:r>
        <w:rPr>
          <w:rFonts w:hint="eastAsia" w:ascii="仿宋" w:hAnsi="仿宋" w:eastAsia="仿宋" w:cs="仿宋"/>
          <w:bCs/>
          <w:sz w:val="32"/>
          <w:szCs w:val="32"/>
          <w:lang w:eastAsia="zh-CN" w:bidi="ar-SA"/>
        </w:rPr>
        <w:t>工作领导小组</w:t>
      </w:r>
      <w:r>
        <w:rPr>
          <w:rFonts w:hint="eastAsia" w:ascii="仿宋" w:hAnsi="仿宋" w:eastAsia="仿宋" w:cs="仿宋"/>
          <w:bCs/>
          <w:sz w:val="32"/>
          <w:szCs w:val="32"/>
          <w:lang w:bidi="ar-SA"/>
        </w:rPr>
        <w:t>其他成员单位并向社会公布。</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rPr>
          <w:rFonts w:hint="eastAsia" w:ascii="仿宋" w:hAnsi="仿宋" w:eastAsia="仿宋" w:cs="仿宋"/>
          <w:bCs/>
          <w:sz w:val="32"/>
          <w:szCs w:val="32"/>
          <w:lang w:bidi="ar-SA"/>
        </w:rPr>
      </w:pPr>
      <w:r>
        <w:rPr>
          <w:rFonts w:hint="eastAsia" w:ascii="仿宋" w:hAnsi="仿宋" w:eastAsia="仿宋" w:cs="仿宋"/>
          <w:color w:val="333333"/>
          <w:sz w:val="32"/>
          <w:szCs w:val="32"/>
          <w:lang w:bidi="ar-SA"/>
        </w:rPr>
        <w:t>第二十二条</w:t>
      </w:r>
      <w:r>
        <w:rPr>
          <w:rFonts w:hint="eastAsia" w:ascii="仿宋" w:hAnsi="仿宋" w:eastAsia="仿宋" w:cs="仿宋"/>
          <w:sz w:val="32"/>
          <w:szCs w:val="32"/>
        </w:rPr>
        <w:t xml:space="preserve">　 </w:t>
      </w:r>
      <w:r>
        <w:rPr>
          <w:rFonts w:hint="eastAsia" w:ascii="仿宋" w:hAnsi="仿宋" w:eastAsia="仿宋" w:cs="仿宋"/>
          <w:bCs/>
          <w:sz w:val="32"/>
          <w:szCs w:val="32"/>
          <w:lang w:bidi="ar-SA"/>
        </w:rPr>
        <w:t>各</w:t>
      </w:r>
      <w:r>
        <w:rPr>
          <w:rFonts w:hint="eastAsia" w:ascii="仿宋" w:hAnsi="仿宋" w:eastAsia="仿宋" w:cs="仿宋"/>
          <w:bCs/>
          <w:sz w:val="32"/>
          <w:szCs w:val="32"/>
          <w:lang w:eastAsia="zh-CN" w:bidi="ar-SA"/>
        </w:rPr>
        <w:t>区（管委会）</w:t>
      </w:r>
      <w:r>
        <w:rPr>
          <w:rFonts w:hint="eastAsia" w:ascii="仿宋" w:hAnsi="仿宋" w:eastAsia="仿宋" w:cs="仿宋"/>
          <w:bCs/>
          <w:sz w:val="32"/>
          <w:szCs w:val="32"/>
          <w:lang w:bidi="ar-SA"/>
        </w:rPr>
        <w:t>农业产业化主管部门应根据本办法，制定</w:t>
      </w:r>
      <w:r>
        <w:rPr>
          <w:rFonts w:hint="eastAsia" w:ascii="仿宋" w:hAnsi="仿宋" w:eastAsia="仿宋" w:cs="仿宋"/>
          <w:bCs/>
          <w:sz w:val="32"/>
          <w:szCs w:val="32"/>
          <w:lang w:eastAsia="zh-CN" w:bidi="ar-SA"/>
        </w:rPr>
        <w:t>本级</w:t>
      </w:r>
      <w:r>
        <w:rPr>
          <w:rFonts w:hint="eastAsia" w:ascii="仿宋" w:hAnsi="仿宋" w:eastAsia="仿宋" w:cs="仿宋"/>
          <w:bCs/>
          <w:sz w:val="32"/>
          <w:szCs w:val="32"/>
          <w:lang w:bidi="ar-SA"/>
        </w:rPr>
        <w:t>重点龙头企业有关管理办法，开展农业产业化重点龙头企业认定和运行监测工作。</w:t>
      </w:r>
    </w:p>
    <w:p>
      <w:pPr>
        <w:keepNext w:val="0"/>
        <w:keepLines w:val="0"/>
        <w:pageBreakBefore w:val="0"/>
        <w:kinsoku/>
        <w:wordWrap/>
        <w:overflowPunct/>
        <w:topLinePunct w:val="0"/>
        <w:autoSpaceDE/>
        <w:autoSpaceDN/>
        <w:bidi w:val="0"/>
        <w:spacing w:line="560" w:lineRule="exact"/>
        <w:ind w:firstLine="640" w:firstLineChars="200"/>
        <w:rPr>
          <w:rFonts w:hint="eastAsia" w:ascii="仿宋" w:hAnsi="仿宋" w:eastAsia="仿宋" w:cs="仿宋"/>
          <w:bCs/>
          <w:kern w:val="0"/>
          <w:sz w:val="32"/>
          <w:szCs w:val="32"/>
        </w:rPr>
      </w:pPr>
      <w:r>
        <w:rPr>
          <w:rFonts w:hint="eastAsia" w:ascii="仿宋" w:hAnsi="仿宋" w:eastAsia="仿宋" w:cs="仿宋"/>
          <w:sz w:val="32"/>
          <w:szCs w:val="32"/>
        </w:rPr>
        <w:t>第二十三条　</w:t>
      </w:r>
      <w:r>
        <w:rPr>
          <w:rFonts w:hint="eastAsia" w:ascii="仿宋" w:hAnsi="仿宋" w:eastAsia="仿宋" w:cs="仿宋"/>
          <w:bCs/>
          <w:kern w:val="0"/>
          <w:sz w:val="32"/>
          <w:szCs w:val="32"/>
        </w:rPr>
        <w:t>本办法由</w:t>
      </w:r>
      <w:r>
        <w:rPr>
          <w:rFonts w:hint="eastAsia" w:ascii="仿宋" w:hAnsi="仿宋" w:eastAsia="仿宋" w:cs="仿宋"/>
          <w:bCs/>
          <w:kern w:val="0"/>
          <w:sz w:val="32"/>
          <w:szCs w:val="32"/>
          <w:lang w:eastAsia="zh-CN"/>
        </w:rPr>
        <w:t>市</w:t>
      </w:r>
      <w:r>
        <w:rPr>
          <w:rFonts w:hint="eastAsia" w:ascii="仿宋" w:hAnsi="仿宋" w:eastAsia="仿宋" w:cs="仿宋"/>
          <w:bCs/>
          <w:kern w:val="0"/>
          <w:sz w:val="32"/>
          <w:szCs w:val="32"/>
        </w:rPr>
        <w:t>农业农村</w:t>
      </w:r>
      <w:r>
        <w:rPr>
          <w:rFonts w:hint="eastAsia" w:ascii="仿宋" w:hAnsi="仿宋" w:eastAsia="仿宋" w:cs="仿宋"/>
          <w:bCs/>
          <w:kern w:val="0"/>
          <w:sz w:val="32"/>
          <w:szCs w:val="32"/>
          <w:lang w:eastAsia="zh-CN"/>
        </w:rPr>
        <w:t>局</w:t>
      </w:r>
      <w:r>
        <w:rPr>
          <w:rFonts w:hint="eastAsia" w:ascii="仿宋" w:hAnsi="仿宋" w:eastAsia="仿宋" w:cs="仿宋"/>
          <w:bCs/>
          <w:kern w:val="0"/>
          <w:sz w:val="32"/>
          <w:szCs w:val="32"/>
        </w:rPr>
        <w:t>负责解释。</w:t>
      </w:r>
    </w:p>
    <w:p>
      <w:pPr>
        <w:keepNext w:val="0"/>
        <w:keepLines w:val="0"/>
        <w:pageBreakBefore w:val="0"/>
        <w:kinsoku/>
        <w:wordWrap/>
        <w:overflowPunct/>
        <w:topLinePunct w:val="0"/>
        <w:autoSpaceDE/>
        <w:autoSpaceDN/>
        <w:bidi w:val="0"/>
        <w:spacing w:line="560" w:lineRule="exact"/>
        <w:ind w:firstLine="640" w:firstLineChars="200"/>
        <w:rPr>
          <w:rFonts w:hint="eastAsia" w:ascii="仿宋" w:hAnsi="仿宋" w:eastAsia="仿宋" w:cs="仿宋"/>
          <w:bCs/>
          <w:kern w:val="0"/>
          <w:sz w:val="32"/>
          <w:szCs w:val="32"/>
        </w:rPr>
      </w:pPr>
      <w:r>
        <w:rPr>
          <w:rFonts w:hint="eastAsia" w:ascii="仿宋" w:hAnsi="仿宋" w:eastAsia="仿宋" w:cs="仿宋"/>
          <w:sz w:val="32"/>
          <w:szCs w:val="32"/>
        </w:rPr>
        <w:t>第二十四条　</w:t>
      </w:r>
      <w:r>
        <w:rPr>
          <w:rFonts w:hint="eastAsia" w:ascii="仿宋" w:hAnsi="仿宋" w:eastAsia="仿宋" w:cs="仿宋"/>
          <w:bCs/>
          <w:kern w:val="0"/>
          <w:sz w:val="32"/>
          <w:szCs w:val="32"/>
        </w:rPr>
        <w:t>本办法自发布之日起施行，</w:t>
      </w:r>
      <w:r>
        <w:rPr>
          <w:rFonts w:hint="eastAsia" w:ascii="仿宋" w:hAnsi="仿宋" w:eastAsia="仿宋" w:cs="仿宋"/>
          <w:bCs/>
          <w:kern w:val="0"/>
          <w:sz w:val="32"/>
          <w:szCs w:val="32"/>
          <w:lang w:eastAsia="zh-CN"/>
        </w:rPr>
        <w:t>有效期</w:t>
      </w:r>
      <w:r>
        <w:rPr>
          <w:rFonts w:hint="eastAsia" w:ascii="仿宋" w:hAnsi="仿宋" w:eastAsia="仿宋" w:cs="仿宋"/>
          <w:bCs/>
          <w:kern w:val="0"/>
          <w:sz w:val="32"/>
          <w:szCs w:val="32"/>
          <w:lang w:val="en-US" w:eastAsia="zh-CN"/>
        </w:rPr>
        <w:t>5年，</w:t>
      </w:r>
      <w:r>
        <w:rPr>
          <w:rFonts w:hint="eastAsia" w:ascii="仿宋" w:hAnsi="仿宋" w:eastAsia="仿宋" w:cs="仿宋"/>
          <w:bCs/>
          <w:kern w:val="0"/>
          <w:sz w:val="32"/>
          <w:szCs w:val="32"/>
        </w:rPr>
        <w:t>201</w:t>
      </w:r>
      <w:r>
        <w:rPr>
          <w:rFonts w:hint="eastAsia" w:ascii="仿宋" w:hAnsi="仿宋" w:eastAsia="仿宋" w:cs="仿宋"/>
          <w:bCs/>
          <w:kern w:val="0"/>
          <w:sz w:val="32"/>
          <w:szCs w:val="32"/>
          <w:lang w:val="en-US" w:eastAsia="zh-CN"/>
        </w:rPr>
        <w:t>6</w:t>
      </w:r>
      <w:r>
        <w:rPr>
          <w:rFonts w:hint="eastAsia" w:ascii="仿宋" w:hAnsi="仿宋" w:eastAsia="仿宋" w:cs="仿宋"/>
          <w:bCs/>
          <w:kern w:val="0"/>
          <w:sz w:val="32"/>
          <w:szCs w:val="32"/>
        </w:rPr>
        <w:t>年制定的《</w:t>
      </w:r>
      <w:r>
        <w:rPr>
          <w:rFonts w:hint="eastAsia" w:ascii="仿宋" w:hAnsi="仿宋" w:eastAsia="仿宋" w:cs="仿宋"/>
          <w:bCs/>
          <w:kern w:val="0"/>
          <w:sz w:val="32"/>
          <w:szCs w:val="32"/>
          <w:lang w:eastAsia="zh-CN"/>
        </w:rPr>
        <w:t>厦门市农业产业化市级重点龙头企业认定和运行监测管理办法的通知</w:t>
      </w:r>
      <w:r>
        <w:rPr>
          <w:rFonts w:hint="eastAsia" w:ascii="仿宋" w:hAnsi="仿宋" w:eastAsia="仿宋" w:cs="仿宋"/>
          <w:bCs/>
          <w:kern w:val="0"/>
          <w:sz w:val="32"/>
          <w:szCs w:val="32"/>
        </w:rPr>
        <w:t>》（</w:t>
      </w:r>
      <w:r>
        <w:rPr>
          <w:rFonts w:hint="eastAsia" w:ascii="仿宋" w:hAnsi="仿宋" w:eastAsia="仿宋" w:cs="仿宋"/>
          <w:bCs/>
          <w:kern w:val="0"/>
          <w:sz w:val="32"/>
          <w:szCs w:val="32"/>
          <w:lang w:eastAsia="zh-CN"/>
        </w:rPr>
        <w:t>厦农</w:t>
      </w:r>
      <w:r>
        <w:rPr>
          <w:rFonts w:hint="eastAsia" w:ascii="仿宋" w:hAnsi="仿宋" w:eastAsia="仿宋" w:cs="仿宋"/>
          <w:bCs/>
          <w:kern w:val="0"/>
          <w:sz w:val="32"/>
          <w:szCs w:val="32"/>
        </w:rPr>
        <w:t>〔201</w:t>
      </w:r>
      <w:r>
        <w:rPr>
          <w:rFonts w:hint="eastAsia" w:ascii="仿宋" w:hAnsi="仿宋" w:eastAsia="仿宋" w:cs="仿宋"/>
          <w:bCs/>
          <w:kern w:val="0"/>
          <w:sz w:val="32"/>
          <w:szCs w:val="32"/>
          <w:lang w:val="en-US" w:eastAsia="zh-CN"/>
        </w:rPr>
        <w:t>6</w:t>
      </w:r>
      <w:r>
        <w:rPr>
          <w:rFonts w:hint="eastAsia" w:ascii="仿宋" w:hAnsi="仿宋" w:eastAsia="仿宋" w:cs="仿宋"/>
          <w:bCs/>
          <w:kern w:val="0"/>
          <w:sz w:val="32"/>
          <w:szCs w:val="32"/>
        </w:rPr>
        <w:t>〕</w:t>
      </w:r>
      <w:r>
        <w:rPr>
          <w:rFonts w:hint="eastAsia" w:ascii="仿宋" w:hAnsi="仿宋" w:eastAsia="仿宋" w:cs="仿宋"/>
          <w:bCs/>
          <w:kern w:val="0"/>
          <w:sz w:val="32"/>
          <w:szCs w:val="32"/>
          <w:lang w:val="en-US" w:eastAsia="zh-CN"/>
        </w:rPr>
        <w:t>178</w:t>
      </w:r>
      <w:r>
        <w:rPr>
          <w:rFonts w:hint="eastAsia" w:ascii="仿宋" w:hAnsi="仿宋" w:eastAsia="仿宋" w:cs="仿宋"/>
          <w:bCs/>
          <w:kern w:val="0"/>
          <w:sz w:val="32"/>
          <w:szCs w:val="32"/>
        </w:rPr>
        <w:t>号）同时废止。</w:t>
      </w:r>
    </w:p>
    <w:p>
      <w:pPr>
        <w:keepNext w:val="0"/>
        <w:keepLines w:val="0"/>
        <w:pageBreakBefore w:val="0"/>
        <w:kinsoku/>
        <w:wordWrap/>
        <w:overflowPunct/>
        <w:topLinePunct w:val="0"/>
        <w:autoSpaceDE/>
        <w:autoSpaceDN/>
        <w:bidi w:val="0"/>
        <w:spacing w:line="560" w:lineRule="exact"/>
        <w:ind w:firstLine="640" w:firstLineChars="200"/>
        <w:rPr>
          <w:rFonts w:hint="eastAsia" w:ascii="黑体" w:hAnsi="黑体" w:eastAsia="黑体" w:cs="黑体"/>
          <w:b w:val="0"/>
          <w:bCs w:val="0"/>
          <w:sz w:val="32"/>
          <w:szCs w:val="32"/>
          <w:lang w:eastAsia="zh-CN"/>
        </w:rPr>
      </w:pPr>
      <w:r>
        <w:rPr>
          <w:rFonts w:hint="eastAsia" w:ascii="仿宋" w:hAnsi="仿宋" w:eastAsia="仿宋" w:cs="仿宋"/>
          <w:sz w:val="32"/>
          <w:szCs w:val="32"/>
        </w:rPr>
        <w:t xml:space="preserve">      </w:t>
      </w:r>
    </w:p>
    <w:p>
      <w:pPr>
        <w:spacing w:line="600" w:lineRule="exact"/>
        <w:ind w:left="0"/>
        <w:rPr>
          <w:rFonts w:hint="eastAsia" w:ascii="宋体" w:eastAsia="宋体"/>
          <w:b/>
          <w:bCs/>
          <w:sz w:val="28"/>
          <w:szCs w:val="28"/>
          <w:lang w:val="en-US" w:eastAsia="zh-CN"/>
        </w:rPr>
      </w:pPr>
      <w:r>
        <w:rPr>
          <w:rFonts w:hint="eastAsia" w:ascii="黑体" w:hAnsi="黑体" w:eastAsia="黑体" w:cs="黑体"/>
          <w:b w:val="0"/>
          <w:bCs w:val="0"/>
          <w:sz w:val="32"/>
          <w:szCs w:val="32"/>
          <w:lang w:eastAsia="zh-CN"/>
        </w:rPr>
        <w:t>附表</w:t>
      </w:r>
      <w:r>
        <w:rPr>
          <w:rFonts w:hint="eastAsia" w:ascii="黑体" w:hAnsi="黑体" w:eastAsia="黑体" w:cs="黑体"/>
          <w:b w:val="0"/>
          <w:bCs w:val="0"/>
          <w:sz w:val="32"/>
          <w:szCs w:val="32"/>
          <w:lang w:val="en-US" w:eastAsia="zh-CN"/>
        </w:rPr>
        <w:t>1</w:t>
      </w:r>
      <w:r>
        <w:rPr>
          <w:rFonts w:hint="eastAsia" w:ascii="宋体" w:eastAsia="宋体"/>
          <w:b/>
          <w:bCs/>
          <w:sz w:val="28"/>
          <w:szCs w:val="28"/>
          <w:lang w:val="en-US" w:eastAsia="zh-CN"/>
        </w:rPr>
        <w:t xml:space="preserve">   </w:t>
      </w:r>
    </w:p>
    <w:tbl>
      <w:tblPr>
        <w:tblStyle w:val="8"/>
        <w:tblpPr w:leftFromText="180" w:rightFromText="180" w:vertAnchor="text" w:horzAnchor="page" w:tblpX="1240" w:tblpY="619"/>
        <w:tblOverlap w:val="never"/>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2560"/>
        <w:gridCol w:w="1687"/>
        <w:gridCol w:w="1812"/>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3871" w:type="dxa"/>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大标宋简体" w:hAnsi="方正大标宋简体" w:eastAsia="方正大标宋简体" w:cs="方正大标宋简体"/>
                <w:b/>
                <w:bCs/>
                <w:sz w:val="28"/>
                <w:szCs w:val="28"/>
                <w:vertAlign w:val="baseline"/>
                <w:lang w:val="en-US" w:eastAsia="zh-CN"/>
              </w:rPr>
            </w:pPr>
            <w:r>
              <w:rPr>
                <w:rFonts w:hint="eastAsia" w:ascii="方正大标宋简体" w:hAnsi="方正大标宋简体" w:eastAsia="方正大标宋简体" w:cs="方正大标宋简体"/>
                <w:b/>
                <w:bCs/>
                <w:sz w:val="28"/>
                <w:szCs w:val="28"/>
                <w:vertAlign w:val="baseline"/>
                <w:lang w:val="en-US" w:eastAsia="zh-CN"/>
              </w:rPr>
              <w:t>行   业</w:t>
            </w:r>
          </w:p>
        </w:tc>
        <w:tc>
          <w:tcPr>
            <w:tcW w:w="168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大标宋简体" w:hAnsi="方正大标宋简体" w:eastAsia="方正大标宋简体" w:cs="方正大标宋简体"/>
                <w:b/>
                <w:bCs/>
                <w:sz w:val="28"/>
                <w:szCs w:val="28"/>
                <w:vertAlign w:val="baseline"/>
                <w:lang w:val="en-US" w:eastAsia="zh-CN"/>
              </w:rPr>
            </w:pPr>
            <w:r>
              <w:rPr>
                <w:rFonts w:hint="eastAsia" w:ascii="方正大标宋简体" w:hAnsi="方正大标宋简体" w:eastAsia="方正大标宋简体" w:cs="方正大标宋简体"/>
                <w:b/>
                <w:bCs/>
                <w:sz w:val="28"/>
                <w:szCs w:val="28"/>
                <w:vertAlign w:val="baseline"/>
                <w:lang w:val="en-US" w:eastAsia="zh-CN"/>
              </w:rPr>
              <w:t>销售收入</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大标宋简体" w:hAnsi="方正大标宋简体" w:eastAsia="方正大标宋简体" w:cs="方正大标宋简体"/>
                <w:b/>
                <w:bCs/>
                <w:sz w:val="28"/>
                <w:szCs w:val="28"/>
                <w:vertAlign w:val="baseline"/>
                <w:lang w:val="en-US" w:eastAsia="zh-CN"/>
              </w:rPr>
            </w:pPr>
            <w:r>
              <w:rPr>
                <w:rFonts w:hint="eastAsia" w:ascii="方正大标宋简体" w:hAnsi="方正大标宋简体" w:eastAsia="方正大标宋简体" w:cs="方正大标宋简体"/>
                <w:b/>
                <w:bCs/>
                <w:sz w:val="28"/>
                <w:szCs w:val="28"/>
                <w:vertAlign w:val="baseline"/>
                <w:lang w:val="en-US" w:eastAsia="zh-CN"/>
              </w:rPr>
              <w:t>（万元）</w:t>
            </w:r>
          </w:p>
        </w:tc>
        <w:tc>
          <w:tcPr>
            <w:tcW w:w="1812"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大标宋简体" w:hAnsi="方正大标宋简体" w:eastAsia="方正大标宋简体" w:cs="方正大标宋简体"/>
                <w:b/>
                <w:bCs/>
                <w:sz w:val="28"/>
                <w:szCs w:val="28"/>
                <w:vertAlign w:val="baseline"/>
                <w:lang w:val="en-US" w:eastAsia="zh-CN"/>
              </w:rPr>
            </w:pPr>
            <w:r>
              <w:rPr>
                <w:rFonts w:hint="eastAsia" w:ascii="方正大标宋简体" w:hAnsi="方正大标宋简体" w:eastAsia="方正大标宋简体" w:cs="方正大标宋简体"/>
                <w:b/>
                <w:bCs/>
                <w:sz w:val="28"/>
                <w:szCs w:val="28"/>
                <w:vertAlign w:val="baseline"/>
                <w:lang w:val="en-US" w:eastAsia="zh-CN"/>
              </w:rPr>
              <w:t>固定资产</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大标宋简体" w:hAnsi="方正大标宋简体" w:eastAsia="方正大标宋简体" w:cs="方正大标宋简体"/>
                <w:b/>
                <w:bCs/>
                <w:sz w:val="28"/>
                <w:szCs w:val="28"/>
                <w:vertAlign w:val="baseline"/>
                <w:lang w:val="en-US" w:eastAsia="zh-CN"/>
              </w:rPr>
            </w:pPr>
            <w:r>
              <w:rPr>
                <w:rFonts w:hint="eastAsia" w:ascii="方正大标宋简体" w:hAnsi="方正大标宋简体" w:eastAsia="方正大标宋简体" w:cs="方正大标宋简体"/>
                <w:b/>
                <w:bCs/>
                <w:sz w:val="28"/>
                <w:szCs w:val="28"/>
                <w:vertAlign w:val="baseline"/>
                <w:lang w:val="en-US" w:eastAsia="zh-CN"/>
              </w:rPr>
              <w:t>（万元）</w:t>
            </w:r>
          </w:p>
        </w:tc>
        <w:tc>
          <w:tcPr>
            <w:tcW w:w="229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大标宋简体" w:hAnsi="方正大标宋简体" w:eastAsia="方正大标宋简体" w:cs="方正大标宋简体"/>
                <w:b/>
                <w:bCs/>
                <w:sz w:val="28"/>
                <w:szCs w:val="28"/>
                <w:vertAlign w:val="baseline"/>
                <w:lang w:val="en-US" w:eastAsia="zh-CN"/>
              </w:rPr>
            </w:pPr>
            <w:r>
              <w:rPr>
                <w:rFonts w:hint="eastAsia" w:ascii="方正大标宋简体" w:hAnsi="方正大标宋简体" w:eastAsia="方正大标宋简体" w:cs="方正大标宋简体"/>
                <w:b/>
                <w:bCs/>
                <w:sz w:val="28"/>
                <w:szCs w:val="28"/>
                <w:vertAlign w:val="baseline"/>
                <w:lang w:val="en-US" w:eastAsia="zh-CN"/>
              </w:rPr>
              <w:t>总资产规模</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大标宋简体" w:hAnsi="方正大标宋简体" w:eastAsia="方正大标宋简体" w:cs="方正大标宋简体"/>
                <w:b/>
                <w:bCs/>
                <w:sz w:val="28"/>
                <w:szCs w:val="28"/>
                <w:vertAlign w:val="baseline"/>
                <w:lang w:val="en-US" w:eastAsia="zh-CN"/>
              </w:rPr>
            </w:pPr>
            <w:r>
              <w:rPr>
                <w:rFonts w:hint="eastAsia" w:ascii="方正大标宋简体" w:hAnsi="方正大标宋简体" w:eastAsia="方正大标宋简体" w:cs="方正大标宋简体"/>
                <w:b/>
                <w:bCs/>
                <w:sz w:val="28"/>
                <w:szCs w:val="28"/>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871" w:type="dxa"/>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eastAsia="宋体"/>
                <w:b w:val="0"/>
                <w:bCs w:val="0"/>
                <w:sz w:val="28"/>
                <w:szCs w:val="28"/>
                <w:vertAlign w:val="baseline"/>
                <w:lang w:val="en-US" w:eastAsia="zh-CN"/>
              </w:rPr>
            </w:pPr>
            <w:r>
              <w:rPr>
                <w:rFonts w:hint="eastAsia" w:ascii="宋体" w:eastAsia="宋体"/>
                <w:b w:val="0"/>
                <w:bCs w:val="0"/>
                <w:sz w:val="28"/>
                <w:szCs w:val="28"/>
                <w:vertAlign w:val="baseline"/>
                <w:lang w:val="en-US" w:eastAsia="zh-CN"/>
              </w:rPr>
              <w:t>种业</w:t>
            </w:r>
          </w:p>
        </w:tc>
        <w:tc>
          <w:tcPr>
            <w:tcW w:w="168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eastAsia="宋体"/>
                <w:b w:val="0"/>
                <w:bCs w:val="0"/>
                <w:sz w:val="28"/>
                <w:szCs w:val="28"/>
                <w:vertAlign w:val="baseline"/>
                <w:lang w:val="en-US" w:eastAsia="zh-CN"/>
              </w:rPr>
            </w:pPr>
            <w:r>
              <w:rPr>
                <w:rFonts w:hint="eastAsia" w:ascii="宋体" w:eastAsia="宋体"/>
                <w:b w:val="0"/>
                <w:bCs w:val="0"/>
                <w:sz w:val="28"/>
                <w:szCs w:val="28"/>
                <w:vertAlign w:val="baseline"/>
                <w:lang w:val="en-US" w:eastAsia="zh-CN"/>
              </w:rPr>
              <w:t>2000</w:t>
            </w:r>
          </w:p>
        </w:tc>
        <w:tc>
          <w:tcPr>
            <w:tcW w:w="1812"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eastAsia="宋体"/>
                <w:b w:val="0"/>
                <w:bCs w:val="0"/>
                <w:sz w:val="28"/>
                <w:szCs w:val="28"/>
                <w:vertAlign w:val="baseline"/>
                <w:lang w:val="en-US" w:eastAsia="zh-CN"/>
              </w:rPr>
            </w:pPr>
            <w:r>
              <w:rPr>
                <w:rFonts w:hint="eastAsia" w:ascii="宋体" w:eastAsia="宋体"/>
                <w:b w:val="0"/>
                <w:bCs w:val="0"/>
                <w:sz w:val="28"/>
                <w:szCs w:val="28"/>
                <w:vertAlign w:val="baseline"/>
                <w:lang w:val="en-US" w:eastAsia="zh-CN"/>
              </w:rPr>
              <w:t>1000</w:t>
            </w:r>
          </w:p>
        </w:tc>
        <w:tc>
          <w:tcPr>
            <w:tcW w:w="229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eastAsia="宋体"/>
                <w:b w:val="0"/>
                <w:bCs w:val="0"/>
                <w:sz w:val="28"/>
                <w:szCs w:val="28"/>
                <w:vertAlign w:val="baseline"/>
                <w:lang w:val="en-US" w:eastAsia="zh-CN"/>
              </w:rPr>
            </w:pPr>
            <w:r>
              <w:rPr>
                <w:rFonts w:hint="eastAsia" w:ascii="宋体" w:eastAsia="宋体"/>
                <w:b w:val="0"/>
                <w:bCs w:val="0"/>
                <w:sz w:val="28"/>
                <w:szCs w:val="28"/>
                <w:vertAlign w:val="baseline"/>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871" w:type="dxa"/>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eastAsia="宋体"/>
                <w:b w:val="0"/>
                <w:bCs w:val="0"/>
                <w:sz w:val="28"/>
                <w:szCs w:val="28"/>
                <w:vertAlign w:val="baseline"/>
                <w:lang w:val="en-US" w:eastAsia="zh-CN"/>
              </w:rPr>
            </w:pPr>
            <w:r>
              <w:rPr>
                <w:rFonts w:hint="eastAsia" w:ascii="宋体" w:eastAsia="宋体"/>
                <w:b w:val="0"/>
                <w:bCs w:val="0"/>
                <w:sz w:val="28"/>
                <w:szCs w:val="28"/>
                <w:vertAlign w:val="baseline"/>
                <w:lang w:val="en-US" w:eastAsia="zh-CN"/>
              </w:rPr>
              <w:t>花卉</w:t>
            </w:r>
          </w:p>
        </w:tc>
        <w:tc>
          <w:tcPr>
            <w:tcW w:w="168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eastAsia="宋体"/>
                <w:b w:val="0"/>
                <w:bCs w:val="0"/>
                <w:sz w:val="28"/>
                <w:szCs w:val="28"/>
                <w:vertAlign w:val="baseline"/>
                <w:lang w:val="en-US" w:eastAsia="zh-CN"/>
              </w:rPr>
            </w:pPr>
            <w:r>
              <w:rPr>
                <w:rFonts w:hint="eastAsia" w:ascii="宋体" w:eastAsia="宋体"/>
                <w:b w:val="0"/>
                <w:bCs w:val="0"/>
                <w:sz w:val="28"/>
                <w:szCs w:val="28"/>
                <w:vertAlign w:val="baseline"/>
                <w:lang w:val="en-US" w:eastAsia="zh-CN"/>
              </w:rPr>
              <w:t>3500</w:t>
            </w:r>
          </w:p>
        </w:tc>
        <w:tc>
          <w:tcPr>
            <w:tcW w:w="1812"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eastAsia="宋体"/>
                <w:b w:val="0"/>
                <w:bCs w:val="0"/>
                <w:sz w:val="28"/>
                <w:szCs w:val="28"/>
                <w:vertAlign w:val="baseline"/>
                <w:lang w:val="en-US" w:eastAsia="zh-CN"/>
              </w:rPr>
            </w:pPr>
            <w:r>
              <w:rPr>
                <w:rFonts w:hint="eastAsia" w:ascii="宋体" w:eastAsia="宋体"/>
                <w:b w:val="0"/>
                <w:bCs w:val="0"/>
                <w:sz w:val="28"/>
                <w:szCs w:val="28"/>
                <w:vertAlign w:val="baseline"/>
                <w:lang w:val="en-US" w:eastAsia="zh-CN"/>
              </w:rPr>
              <w:t>1000</w:t>
            </w:r>
          </w:p>
        </w:tc>
        <w:tc>
          <w:tcPr>
            <w:tcW w:w="229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eastAsia="宋体"/>
                <w:b w:val="0"/>
                <w:bCs w:val="0"/>
                <w:sz w:val="28"/>
                <w:szCs w:val="28"/>
                <w:vertAlign w:val="baseline"/>
                <w:lang w:val="en-US" w:eastAsia="zh-CN"/>
              </w:rPr>
            </w:pPr>
            <w:r>
              <w:rPr>
                <w:rFonts w:hint="eastAsia" w:ascii="宋体" w:eastAsia="宋体"/>
                <w:b w:val="0"/>
                <w:bCs w:val="0"/>
                <w:sz w:val="28"/>
                <w:szCs w:val="28"/>
                <w:vertAlign w:val="baseline"/>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871" w:type="dxa"/>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eastAsia="宋体"/>
                <w:b w:val="0"/>
                <w:bCs w:val="0"/>
                <w:sz w:val="28"/>
                <w:szCs w:val="28"/>
                <w:vertAlign w:val="baseline"/>
                <w:lang w:val="en-US" w:eastAsia="zh-CN"/>
              </w:rPr>
            </w:pPr>
            <w:r>
              <w:rPr>
                <w:rFonts w:hint="eastAsia" w:ascii="宋体" w:eastAsia="宋体"/>
                <w:b w:val="0"/>
                <w:bCs w:val="0"/>
                <w:sz w:val="28"/>
                <w:szCs w:val="28"/>
                <w:vertAlign w:val="baseline"/>
                <w:lang w:val="en-US" w:eastAsia="zh-CN"/>
              </w:rPr>
              <w:t>中药材</w:t>
            </w:r>
          </w:p>
        </w:tc>
        <w:tc>
          <w:tcPr>
            <w:tcW w:w="168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eastAsia="宋体"/>
                <w:b w:val="0"/>
                <w:bCs w:val="0"/>
                <w:sz w:val="28"/>
                <w:szCs w:val="28"/>
                <w:vertAlign w:val="baseline"/>
                <w:lang w:val="en-US" w:eastAsia="zh-CN"/>
              </w:rPr>
            </w:pPr>
            <w:r>
              <w:rPr>
                <w:rFonts w:hint="eastAsia" w:ascii="宋体" w:eastAsia="宋体"/>
                <w:b w:val="0"/>
                <w:bCs w:val="0"/>
                <w:sz w:val="28"/>
                <w:szCs w:val="28"/>
                <w:vertAlign w:val="baseline"/>
                <w:lang w:val="en-US" w:eastAsia="zh-CN"/>
              </w:rPr>
              <w:t>3500</w:t>
            </w:r>
          </w:p>
        </w:tc>
        <w:tc>
          <w:tcPr>
            <w:tcW w:w="1812"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eastAsia="宋体"/>
                <w:b w:val="0"/>
                <w:bCs w:val="0"/>
                <w:sz w:val="28"/>
                <w:szCs w:val="28"/>
                <w:vertAlign w:val="baseline"/>
                <w:lang w:val="en-US" w:eastAsia="zh-CN"/>
              </w:rPr>
            </w:pPr>
            <w:r>
              <w:rPr>
                <w:rFonts w:hint="eastAsia" w:ascii="宋体" w:eastAsia="宋体"/>
                <w:b w:val="0"/>
                <w:bCs w:val="0"/>
                <w:sz w:val="28"/>
                <w:szCs w:val="28"/>
                <w:vertAlign w:val="baseline"/>
                <w:lang w:val="en-US" w:eastAsia="zh-CN"/>
              </w:rPr>
              <w:t>1000</w:t>
            </w:r>
          </w:p>
        </w:tc>
        <w:tc>
          <w:tcPr>
            <w:tcW w:w="229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eastAsia="宋体"/>
                <w:b w:val="0"/>
                <w:bCs w:val="0"/>
                <w:sz w:val="28"/>
                <w:szCs w:val="28"/>
                <w:vertAlign w:val="baseline"/>
                <w:lang w:val="en-US" w:eastAsia="zh-CN"/>
              </w:rPr>
            </w:pPr>
            <w:r>
              <w:rPr>
                <w:rFonts w:hint="eastAsia" w:ascii="宋体" w:eastAsia="宋体"/>
                <w:b w:val="0"/>
                <w:bCs w:val="0"/>
                <w:sz w:val="28"/>
                <w:szCs w:val="28"/>
                <w:vertAlign w:val="baseline"/>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871" w:type="dxa"/>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eastAsia="宋体"/>
                <w:b w:val="0"/>
                <w:bCs w:val="0"/>
                <w:sz w:val="28"/>
                <w:szCs w:val="28"/>
                <w:vertAlign w:val="baseline"/>
                <w:lang w:val="en-US" w:eastAsia="zh-CN"/>
              </w:rPr>
            </w:pPr>
            <w:r>
              <w:rPr>
                <w:rFonts w:hint="eastAsia" w:ascii="宋体" w:eastAsia="宋体"/>
                <w:b w:val="0"/>
                <w:bCs w:val="0"/>
                <w:sz w:val="28"/>
                <w:szCs w:val="28"/>
                <w:vertAlign w:val="baseline"/>
                <w:lang w:val="en-US" w:eastAsia="zh-CN"/>
              </w:rPr>
              <w:t>生物质利用</w:t>
            </w:r>
          </w:p>
        </w:tc>
        <w:tc>
          <w:tcPr>
            <w:tcW w:w="168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eastAsia="宋体"/>
                <w:b w:val="0"/>
                <w:bCs w:val="0"/>
                <w:sz w:val="28"/>
                <w:szCs w:val="28"/>
                <w:vertAlign w:val="baseline"/>
                <w:lang w:val="en-US" w:eastAsia="zh-CN"/>
              </w:rPr>
            </w:pPr>
            <w:r>
              <w:rPr>
                <w:rFonts w:hint="eastAsia" w:ascii="宋体" w:eastAsia="宋体"/>
                <w:b w:val="0"/>
                <w:bCs w:val="0"/>
                <w:sz w:val="28"/>
                <w:szCs w:val="28"/>
                <w:vertAlign w:val="baseline"/>
                <w:lang w:val="en-US" w:eastAsia="zh-CN"/>
              </w:rPr>
              <w:t>3600</w:t>
            </w:r>
          </w:p>
        </w:tc>
        <w:tc>
          <w:tcPr>
            <w:tcW w:w="1812"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eastAsia="宋体"/>
                <w:b w:val="0"/>
                <w:bCs w:val="0"/>
                <w:sz w:val="28"/>
                <w:szCs w:val="28"/>
                <w:vertAlign w:val="baseline"/>
                <w:lang w:val="en-US" w:eastAsia="zh-CN"/>
              </w:rPr>
            </w:pPr>
            <w:r>
              <w:rPr>
                <w:rFonts w:hint="eastAsia" w:ascii="宋体" w:eastAsia="宋体"/>
                <w:b w:val="0"/>
                <w:bCs w:val="0"/>
                <w:sz w:val="28"/>
                <w:szCs w:val="28"/>
                <w:vertAlign w:val="baseline"/>
                <w:lang w:val="en-US" w:eastAsia="zh-CN"/>
              </w:rPr>
              <w:t>1000</w:t>
            </w:r>
          </w:p>
        </w:tc>
        <w:tc>
          <w:tcPr>
            <w:tcW w:w="229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eastAsia="宋体"/>
                <w:b w:val="0"/>
                <w:bCs w:val="0"/>
                <w:sz w:val="28"/>
                <w:szCs w:val="28"/>
                <w:vertAlign w:val="baseline"/>
                <w:lang w:val="en-US" w:eastAsia="zh-CN"/>
              </w:rPr>
            </w:pPr>
            <w:r>
              <w:rPr>
                <w:rFonts w:hint="eastAsia" w:ascii="宋体" w:eastAsia="宋体"/>
                <w:b w:val="0"/>
                <w:bCs w:val="0"/>
                <w:sz w:val="28"/>
                <w:szCs w:val="28"/>
                <w:vertAlign w:val="baseline"/>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871" w:type="dxa"/>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eastAsia="宋体"/>
                <w:b/>
                <w:bCs/>
                <w:sz w:val="28"/>
                <w:szCs w:val="28"/>
                <w:vertAlign w:val="baseline"/>
                <w:lang w:val="en-US" w:eastAsia="zh-CN"/>
              </w:rPr>
            </w:pPr>
            <w:r>
              <w:rPr>
                <w:rFonts w:hint="eastAsia" w:ascii="宋体" w:eastAsia="宋体"/>
                <w:b w:val="0"/>
                <w:bCs w:val="0"/>
                <w:sz w:val="28"/>
                <w:szCs w:val="28"/>
                <w:vertAlign w:val="baseline"/>
                <w:lang w:val="en-US" w:eastAsia="zh-CN"/>
              </w:rPr>
              <w:t>种植业</w:t>
            </w:r>
          </w:p>
        </w:tc>
        <w:tc>
          <w:tcPr>
            <w:tcW w:w="168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eastAsia="宋体"/>
                <w:b/>
                <w:bCs/>
                <w:sz w:val="28"/>
                <w:szCs w:val="28"/>
                <w:vertAlign w:val="baseline"/>
                <w:lang w:val="en-US" w:eastAsia="zh-CN"/>
              </w:rPr>
            </w:pPr>
            <w:r>
              <w:rPr>
                <w:rFonts w:hint="eastAsia" w:ascii="宋体" w:eastAsia="宋体"/>
                <w:b w:val="0"/>
                <w:bCs w:val="0"/>
                <w:sz w:val="28"/>
                <w:szCs w:val="28"/>
                <w:vertAlign w:val="baseline"/>
                <w:lang w:val="en-US" w:eastAsia="zh-CN"/>
              </w:rPr>
              <w:t>3000</w:t>
            </w:r>
          </w:p>
        </w:tc>
        <w:tc>
          <w:tcPr>
            <w:tcW w:w="1812"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eastAsia="宋体"/>
                <w:b/>
                <w:bCs/>
                <w:sz w:val="28"/>
                <w:szCs w:val="28"/>
                <w:vertAlign w:val="baseline"/>
                <w:lang w:val="en-US" w:eastAsia="zh-CN"/>
              </w:rPr>
            </w:pPr>
            <w:r>
              <w:rPr>
                <w:rFonts w:hint="eastAsia" w:ascii="宋体" w:eastAsia="宋体"/>
                <w:b w:val="0"/>
                <w:bCs w:val="0"/>
                <w:sz w:val="28"/>
                <w:szCs w:val="28"/>
                <w:vertAlign w:val="baseline"/>
                <w:lang w:val="en-US" w:eastAsia="zh-CN"/>
              </w:rPr>
              <w:t>1000</w:t>
            </w:r>
          </w:p>
        </w:tc>
        <w:tc>
          <w:tcPr>
            <w:tcW w:w="229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eastAsia="宋体"/>
                <w:b/>
                <w:bCs/>
                <w:sz w:val="28"/>
                <w:szCs w:val="28"/>
                <w:vertAlign w:val="baseline"/>
                <w:lang w:val="en-US" w:eastAsia="zh-CN"/>
              </w:rPr>
            </w:pPr>
            <w:r>
              <w:rPr>
                <w:rFonts w:hint="eastAsia" w:ascii="宋体" w:eastAsia="宋体"/>
                <w:b w:val="0"/>
                <w:bCs w:val="0"/>
                <w:sz w:val="28"/>
                <w:szCs w:val="28"/>
                <w:vertAlign w:val="baseline"/>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71" w:type="dxa"/>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eastAsia="宋体"/>
                <w:b w:val="0"/>
                <w:bCs w:val="0"/>
                <w:sz w:val="28"/>
                <w:szCs w:val="28"/>
                <w:vertAlign w:val="baseline"/>
                <w:lang w:val="en-US" w:eastAsia="zh-CN"/>
              </w:rPr>
            </w:pPr>
            <w:r>
              <w:rPr>
                <w:rFonts w:hint="eastAsia" w:ascii="宋体" w:eastAsia="宋体"/>
                <w:b w:val="0"/>
                <w:bCs w:val="0"/>
                <w:sz w:val="28"/>
                <w:szCs w:val="28"/>
                <w:vertAlign w:val="baseline"/>
                <w:lang w:val="en-US" w:eastAsia="zh-CN"/>
              </w:rPr>
              <w:t>养殖业</w:t>
            </w:r>
          </w:p>
        </w:tc>
        <w:tc>
          <w:tcPr>
            <w:tcW w:w="168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eastAsia="宋体"/>
                <w:b w:val="0"/>
                <w:bCs w:val="0"/>
                <w:sz w:val="28"/>
                <w:szCs w:val="28"/>
                <w:vertAlign w:val="baseline"/>
                <w:lang w:val="en-US" w:eastAsia="zh-CN"/>
              </w:rPr>
            </w:pPr>
            <w:r>
              <w:rPr>
                <w:rFonts w:hint="eastAsia" w:ascii="宋体" w:eastAsia="宋体"/>
                <w:b w:val="0"/>
                <w:bCs w:val="0"/>
                <w:sz w:val="28"/>
                <w:szCs w:val="28"/>
                <w:vertAlign w:val="baseline"/>
                <w:lang w:val="en-US" w:eastAsia="zh-CN"/>
              </w:rPr>
              <w:t>4000</w:t>
            </w:r>
          </w:p>
        </w:tc>
        <w:tc>
          <w:tcPr>
            <w:tcW w:w="1812"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eastAsia="宋体"/>
                <w:b/>
                <w:bCs/>
                <w:sz w:val="28"/>
                <w:szCs w:val="28"/>
                <w:vertAlign w:val="baseline"/>
                <w:lang w:val="en-US" w:eastAsia="zh-CN"/>
              </w:rPr>
            </w:pPr>
            <w:r>
              <w:rPr>
                <w:rFonts w:hint="eastAsia" w:ascii="宋体" w:eastAsia="宋体"/>
                <w:b w:val="0"/>
                <w:bCs w:val="0"/>
                <w:sz w:val="28"/>
                <w:szCs w:val="28"/>
                <w:vertAlign w:val="baseline"/>
                <w:lang w:val="en-US" w:eastAsia="zh-CN"/>
              </w:rPr>
              <w:t>1000</w:t>
            </w:r>
          </w:p>
        </w:tc>
        <w:tc>
          <w:tcPr>
            <w:tcW w:w="229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eastAsia="宋体"/>
                <w:b/>
                <w:bCs/>
                <w:sz w:val="28"/>
                <w:szCs w:val="28"/>
                <w:vertAlign w:val="baseline"/>
                <w:lang w:val="en-US" w:eastAsia="zh-CN"/>
              </w:rPr>
            </w:pPr>
            <w:r>
              <w:rPr>
                <w:rFonts w:hint="eastAsia" w:ascii="宋体" w:eastAsia="宋体"/>
                <w:b w:val="0"/>
                <w:bCs w:val="0"/>
                <w:sz w:val="28"/>
                <w:szCs w:val="28"/>
                <w:vertAlign w:val="baseline"/>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311" w:type="dxa"/>
            <w:vMerge w:val="restart"/>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eastAsia="宋体"/>
                <w:b w:val="0"/>
                <w:bCs w:val="0"/>
                <w:sz w:val="28"/>
                <w:szCs w:val="28"/>
                <w:vertAlign w:val="baseline"/>
                <w:lang w:val="en-US" w:eastAsia="zh-CN"/>
              </w:rPr>
            </w:pPr>
            <w:r>
              <w:rPr>
                <w:rFonts w:hint="eastAsia" w:ascii="宋体" w:eastAsia="宋体"/>
                <w:b w:val="0"/>
                <w:bCs w:val="0"/>
                <w:sz w:val="28"/>
                <w:szCs w:val="28"/>
                <w:vertAlign w:val="baseline"/>
                <w:lang w:val="en-US" w:eastAsia="zh-CN"/>
              </w:rPr>
              <w:t>加工</w:t>
            </w:r>
          </w:p>
        </w:tc>
        <w:tc>
          <w:tcPr>
            <w:tcW w:w="256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eastAsia="宋体"/>
                <w:b w:val="0"/>
                <w:bCs w:val="0"/>
                <w:sz w:val="28"/>
                <w:szCs w:val="28"/>
                <w:vertAlign w:val="baseline"/>
                <w:lang w:val="en-US" w:eastAsia="zh-CN"/>
              </w:rPr>
            </w:pPr>
            <w:r>
              <w:rPr>
                <w:rFonts w:hint="eastAsia" w:ascii="宋体" w:eastAsia="宋体"/>
                <w:b w:val="0"/>
                <w:bCs w:val="0"/>
                <w:sz w:val="28"/>
                <w:szCs w:val="28"/>
                <w:vertAlign w:val="baseline"/>
                <w:lang w:val="en-US" w:eastAsia="zh-CN"/>
              </w:rPr>
              <w:t>普通型</w:t>
            </w:r>
          </w:p>
        </w:tc>
        <w:tc>
          <w:tcPr>
            <w:tcW w:w="168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eastAsia="宋体"/>
                <w:b w:val="0"/>
                <w:bCs w:val="0"/>
                <w:sz w:val="28"/>
                <w:szCs w:val="28"/>
                <w:vertAlign w:val="baseline"/>
                <w:lang w:val="en-US" w:eastAsia="zh-CN"/>
              </w:rPr>
            </w:pPr>
            <w:r>
              <w:rPr>
                <w:rFonts w:hint="eastAsia" w:ascii="宋体" w:eastAsia="宋体"/>
                <w:b w:val="0"/>
                <w:bCs w:val="0"/>
                <w:sz w:val="28"/>
                <w:szCs w:val="28"/>
                <w:vertAlign w:val="baseline"/>
                <w:lang w:val="en-US" w:eastAsia="zh-CN"/>
              </w:rPr>
              <w:t>5000</w:t>
            </w:r>
          </w:p>
        </w:tc>
        <w:tc>
          <w:tcPr>
            <w:tcW w:w="1812"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eastAsia="宋体"/>
                <w:b w:val="0"/>
                <w:bCs w:val="0"/>
                <w:sz w:val="28"/>
                <w:szCs w:val="28"/>
                <w:vertAlign w:val="baseline"/>
                <w:lang w:val="en-US" w:eastAsia="zh-CN"/>
              </w:rPr>
            </w:pPr>
            <w:r>
              <w:rPr>
                <w:rFonts w:hint="eastAsia" w:ascii="宋体" w:eastAsia="宋体"/>
                <w:b w:val="0"/>
                <w:bCs w:val="0"/>
                <w:sz w:val="28"/>
                <w:szCs w:val="28"/>
                <w:vertAlign w:val="baseline"/>
                <w:lang w:val="en-US" w:eastAsia="zh-CN"/>
              </w:rPr>
              <w:t>2500</w:t>
            </w:r>
          </w:p>
        </w:tc>
        <w:tc>
          <w:tcPr>
            <w:tcW w:w="229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eastAsia="宋体"/>
                <w:b w:val="0"/>
                <w:bCs w:val="0"/>
                <w:sz w:val="28"/>
                <w:szCs w:val="28"/>
                <w:vertAlign w:val="baseline"/>
                <w:lang w:val="en-US" w:eastAsia="zh-CN"/>
              </w:rPr>
            </w:pPr>
            <w:r>
              <w:rPr>
                <w:rFonts w:hint="eastAsia" w:ascii="宋体" w:eastAsia="宋体"/>
                <w:b w:val="0"/>
                <w:bCs w:val="0"/>
                <w:sz w:val="28"/>
                <w:szCs w:val="2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311" w:type="dxa"/>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eastAsia="宋体"/>
                <w:b w:val="0"/>
                <w:bCs w:val="0"/>
                <w:sz w:val="28"/>
                <w:szCs w:val="28"/>
                <w:vertAlign w:val="baseline"/>
                <w:lang w:val="en-US" w:eastAsia="zh-CN"/>
              </w:rPr>
            </w:pPr>
          </w:p>
        </w:tc>
        <w:tc>
          <w:tcPr>
            <w:tcW w:w="256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eastAsia="宋体"/>
                <w:b w:val="0"/>
                <w:bCs w:val="0"/>
                <w:sz w:val="28"/>
                <w:szCs w:val="28"/>
                <w:vertAlign w:val="baseline"/>
                <w:lang w:val="en-US" w:eastAsia="zh-CN"/>
              </w:rPr>
            </w:pPr>
            <w:r>
              <w:rPr>
                <w:rFonts w:hint="eastAsia" w:ascii="宋体" w:eastAsia="宋体"/>
                <w:b w:val="0"/>
                <w:bCs w:val="0"/>
                <w:sz w:val="28"/>
                <w:szCs w:val="28"/>
                <w:vertAlign w:val="baseline"/>
                <w:lang w:val="en-US" w:eastAsia="zh-CN"/>
              </w:rPr>
              <w:t>带动型</w:t>
            </w:r>
          </w:p>
        </w:tc>
        <w:tc>
          <w:tcPr>
            <w:tcW w:w="168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eastAsia="宋体"/>
                <w:b w:val="0"/>
                <w:bCs w:val="0"/>
                <w:sz w:val="28"/>
                <w:szCs w:val="28"/>
                <w:vertAlign w:val="baseline"/>
                <w:lang w:val="en-US" w:eastAsia="zh-CN"/>
              </w:rPr>
            </w:pPr>
            <w:r>
              <w:rPr>
                <w:rFonts w:hint="eastAsia" w:ascii="宋体" w:eastAsia="宋体"/>
                <w:b w:val="0"/>
                <w:bCs w:val="0"/>
                <w:sz w:val="28"/>
                <w:szCs w:val="28"/>
                <w:vertAlign w:val="baseline"/>
                <w:lang w:val="en-US" w:eastAsia="zh-CN"/>
              </w:rPr>
              <w:t>5000</w:t>
            </w:r>
          </w:p>
        </w:tc>
        <w:tc>
          <w:tcPr>
            <w:tcW w:w="1812"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eastAsia="宋体"/>
                <w:b w:val="0"/>
                <w:bCs w:val="0"/>
                <w:sz w:val="28"/>
                <w:szCs w:val="28"/>
                <w:vertAlign w:val="baseline"/>
                <w:lang w:val="en-US" w:eastAsia="zh-CN"/>
              </w:rPr>
            </w:pPr>
            <w:r>
              <w:rPr>
                <w:rFonts w:hint="eastAsia" w:ascii="宋体" w:eastAsia="宋体"/>
                <w:b w:val="0"/>
                <w:bCs w:val="0"/>
                <w:sz w:val="28"/>
                <w:szCs w:val="28"/>
                <w:vertAlign w:val="baseline"/>
                <w:lang w:val="en-US" w:eastAsia="zh-CN"/>
              </w:rPr>
              <w:t>1500</w:t>
            </w:r>
          </w:p>
        </w:tc>
        <w:tc>
          <w:tcPr>
            <w:tcW w:w="229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eastAsia="宋体"/>
                <w:b w:val="0"/>
                <w:bCs w:val="0"/>
                <w:sz w:val="28"/>
                <w:szCs w:val="28"/>
                <w:vertAlign w:val="baseline"/>
                <w:lang w:val="en-US" w:eastAsia="zh-CN"/>
              </w:rPr>
            </w:pPr>
            <w:r>
              <w:rPr>
                <w:rFonts w:hint="eastAsia" w:ascii="宋体" w:eastAsia="宋体"/>
                <w:b w:val="0"/>
                <w:bCs w:val="0"/>
                <w:sz w:val="28"/>
                <w:szCs w:val="2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311" w:type="dxa"/>
            <w:vMerge w:val="restart"/>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eastAsia="宋体"/>
                <w:b w:val="0"/>
                <w:bCs w:val="0"/>
                <w:sz w:val="28"/>
                <w:szCs w:val="28"/>
                <w:vertAlign w:val="baseline"/>
                <w:lang w:val="en-US" w:eastAsia="zh-CN"/>
              </w:rPr>
            </w:pPr>
            <w:r>
              <w:rPr>
                <w:rFonts w:hint="eastAsia" w:ascii="宋体" w:eastAsia="宋体"/>
                <w:b w:val="0"/>
                <w:bCs w:val="0"/>
                <w:sz w:val="28"/>
                <w:szCs w:val="28"/>
                <w:vertAlign w:val="baseline"/>
                <w:lang w:val="en-US" w:eastAsia="zh-CN"/>
              </w:rPr>
              <w:t>流通</w:t>
            </w:r>
          </w:p>
        </w:tc>
        <w:tc>
          <w:tcPr>
            <w:tcW w:w="2560" w:type="dxa"/>
            <w:vAlign w:val="center"/>
          </w:tcPr>
          <w:p>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eastAsia="宋体"/>
                <w:b w:val="0"/>
                <w:bCs w:val="0"/>
                <w:sz w:val="28"/>
                <w:szCs w:val="28"/>
                <w:vertAlign w:val="baseline"/>
                <w:lang w:val="en-US" w:eastAsia="zh-CN"/>
              </w:rPr>
            </w:pPr>
            <w:r>
              <w:rPr>
                <w:rFonts w:hint="eastAsia" w:ascii="宋体" w:eastAsia="宋体"/>
                <w:b w:val="0"/>
                <w:bCs w:val="0"/>
                <w:sz w:val="28"/>
                <w:szCs w:val="28"/>
                <w:vertAlign w:val="baseline"/>
                <w:lang w:val="en-US" w:eastAsia="zh-CN"/>
              </w:rPr>
              <w:t>农产品电商</w:t>
            </w:r>
          </w:p>
        </w:tc>
        <w:tc>
          <w:tcPr>
            <w:tcW w:w="168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eastAsia="宋体"/>
                <w:b w:val="0"/>
                <w:bCs w:val="0"/>
                <w:sz w:val="28"/>
                <w:szCs w:val="28"/>
                <w:vertAlign w:val="baseline"/>
                <w:lang w:val="en-US" w:eastAsia="zh-CN"/>
              </w:rPr>
            </w:pPr>
            <w:r>
              <w:rPr>
                <w:rFonts w:hint="eastAsia" w:ascii="宋体" w:eastAsia="宋体"/>
                <w:b w:val="0"/>
                <w:bCs w:val="0"/>
                <w:sz w:val="28"/>
                <w:szCs w:val="28"/>
                <w:vertAlign w:val="baseline"/>
                <w:lang w:val="en-US" w:eastAsia="zh-CN"/>
              </w:rPr>
              <w:t>20000</w:t>
            </w:r>
          </w:p>
        </w:tc>
        <w:tc>
          <w:tcPr>
            <w:tcW w:w="1812"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eastAsia="宋体"/>
                <w:b/>
                <w:bCs/>
                <w:sz w:val="28"/>
                <w:szCs w:val="28"/>
                <w:vertAlign w:val="baseline"/>
                <w:lang w:val="en-US" w:eastAsia="zh-CN"/>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174625</wp:posOffset>
                      </wp:positionH>
                      <wp:positionV relativeFrom="paragraph">
                        <wp:posOffset>74930</wp:posOffset>
                      </wp:positionV>
                      <wp:extent cx="619125" cy="348615"/>
                      <wp:effectExtent l="3810" t="6985" r="5715" b="25400"/>
                      <wp:wrapNone/>
                      <wp:docPr id="3" name="直接连接符 3"/>
                      <wp:cNvGraphicFramePr/>
                      <a:graphic xmlns:a="http://schemas.openxmlformats.org/drawingml/2006/main">
                        <a:graphicData uri="http://schemas.microsoft.com/office/word/2010/wordprocessingShape">
                          <wps:wsp>
                            <wps:cNvCnPr/>
                            <wps:spPr>
                              <a:xfrm flipV="1">
                                <a:off x="5636260" y="6108700"/>
                                <a:ext cx="619125" cy="348615"/>
                              </a:xfrm>
                              <a:prstGeom prst="line">
                                <a:avLst/>
                              </a:prstGeom>
                              <a:ln w="15875"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3.75pt;margin-top:5.9pt;height:27.45pt;width:48.75pt;z-index:251660288;mso-width-relative:page;mso-height-relative:page;" filled="f" stroked="t" coordsize="21600,21600" o:gfxdata="UEsFBgAAAAAAAAAAAAAAAAAAAAAAAFBLAwQKAAAAAACHTuJAAAAAAAAAAAAAAAAABAAAAGRycy9Q&#10;SwMEFAAAAAgAh07iQChHlJvXAAAACAEAAA8AAABkcnMvZG93bnJldi54bWxNj8FOwzAQRO9I/IO1&#10;SNyonYgkKMTpoRIIVRygIHrdxksSiO0odtLy92xPcNyZ0ey8an2yg1hoCr13GpKVAkGu8aZ3rYb3&#10;t4ebOxAhojM4eEcafijAur68qLA0/uheadnFVnCJCyVq6GIcSylD05HFsPIjOfY+/WQx8jm10kx4&#10;5HI7yFSpXFrsHX/ocKRNR833brYabP+B2716zm43+Xb/tHzZl2J+1Pr6KlH3ICKd4l8YzvN5OtS8&#10;6eBnZ4IYNKRFxknWEyY4+2nGbAcNeV6ArCv5H6D+BVBLAwQUAAAACACHTuJACVVS3f0BAADMAwAA&#10;DgAAAGRycy9lMm9Eb2MueG1srVPNjtMwEL4j8Q6W7zRJS7MlarqHrZYLgkrA3l3HSSz5Tx5v074E&#10;L4DEDU4cue/bsDzGjp2wLMtlD+Rg2eNvvpnvy3h9ftSKHIQHaU1Ni1lOiTDcNtJ0Nf344fLFihII&#10;zDRMWSNqehJAzzfPn60HV4m57a1qhCdIYqAaXE37EFyVZcB7oRnMrBMGL1vrNQt49F3WeDYgu1bZ&#10;PM/LbLC+cd5yAYDR7XhJJ0b/FELbtpKLreXXWpgwsnqhWEBJ0EsHdJO6bVvBw7u2BRGIqikqDWnF&#10;IrjfxzXbrFnVeeZ6yacW2FNaeKRJM2mw6D3VlgVGrr38h0pL7i3YNsy41dkoJDmCKor8kTfve+ZE&#10;0oJWg7s3Hf4fLX972Hkim5ouKDFM4w+//fzj56evv26+4Hr7/RtZRJMGBxViL8zOTydwOx8VH1uv&#10;Sauku8JpSh6gKnKs6bJclPMSjT7VtCzy1Vk+2S2OgXAElMWrYr6khCNg8XJVFstYKRspI7XzEF4L&#10;q0nc1FRJE91gFTu8gTBCf0Ni2NhLqRTGWaUMGbCd5eos8jMc0xbHA7faoVQwHSVMdTj/PPhECVbJ&#10;JqbHbPDd/kJ5cmBxatI3dfYXLNbeMuhHXLqKMFZpGfCJKKlrunqYrQzKi06O3sXd3janZGmK409O&#10;BkwDGafo4Tll/3mEmz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BQAAAAIAIdO4kCKFGY80QAA&#10;AJQBAAALAAAAAAAAAAEAIAAAAIkDAABfcmVscy8ucmVsc1BLAQIUABQAAAAIAIdO4kAoR5Sb1wAA&#10;AAgBAAAPAAAAAAAAAAEAIAAAADgAAABkcnMvZG93bnJldi54bWxQSwECFAAUAAAACACHTuJACVVS&#10;3f0BAADMAwAADgAAAAAAAAABACAAAAA8AQAAZHJzL2Uyb0RvYy54bWxQSwECFAAKAAAAAACHTuJA&#10;AAAAAAAAAAAAAAAABAAAAAAAAAAAABAAAAAWAAAAZHJzL1BLAQIUAAoAAAAAAIdO4kAAAAAAAAAA&#10;AAAAAAAGAAAAAAAAAAAAEAAAAGUDAABfcmVscy9QSwUGAAAAAAYABgBZAQAAqwUAAAAA&#10;">
                      <v:fill on="f" focussize="0,0"/>
                      <v:stroke weight="1.25pt" color="#000000 [3213]"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eastAsia="宋体"/>
                <w:b/>
                <w:bCs/>
                <w:sz w:val="28"/>
                <w:szCs w:val="28"/>
                <w:vertAlign w:val="baseline"/>
                <w:lang w:val="en-US" w:eastAsia="zh-CN"/>
              </w:rPr>
            </w:pPr>
          </w:p>
        </w:tc>
        <w:tc>
          <w:tcPr>
            <w:tcW w:w="229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eastAsia="宋体"/>
                <w:b/>
                <w:bCs/>
                <w:sz w:val="28"/>
                <w:szCs w:val="28"/>
                <w:vertAlign w:val="baseline"/>
                <w:lang w:val="en-US" w:eastAsia="zh-CN"/>
              </w:rPr>
            </w:pPr>
            <w:r>
              <w:rPr>
                <w:sz w:val="28"/>
                <w:szCs w:val="28"/>
              </w:rPr>
              <mc:AlternateContent>
                <mc:Choice Requires="wps">
                  <w:drawing>
                    <wp:anchor distT="0" distB="0" distL="114300" distR="114300" simplePos="0" relativeHeight="251661312" behindDoc="0" locked="0" layoutInCell="1" allowOverlap="1">
                      <wp:simplePos x="0" y="0"/>
                      <wp:positionH relativeFrom="column">
                        <wp:posOffset>259715</wp:posOffset>
                      </wp:positionH>
                      <wp:positionV relativeFrom="paragraph">
                        <wp:posOffset>81915</wp:posOffset>
                      </wp:positionV>
                      <wp:extent cx="666750" cy="374015"/>
                      <wp:effectExtent l="3810" t="6985" r="15240" b="19050"/>
                      <wp:wrapNone/>
                      <wp:docPr id="4" name="直接连接符 4"/>
                      <wp:cNvGraphicFramePr/>
                      <a:graphic xmlns:a="http://schemas.openxmlformats.org/drawingml/2006/main">
                        <a:graphicData uri="http://schemas.microsoft.com/office/word/2010/wordprocessingShape">
                          <wps:wsp>
                            <wps:cNvCnPr/>
                            <wps:spPr>
                              <a:xfrm flipV="1">
                                <a:off x="0" y="0"/>
                                <a:ext cx="666750" cy="374015"/>
                              </a:xfrm>
                              <a:prstGeom prst="line">
                                <a:avLst/>
                              </a:prstGeom>
                              <a:ln w="15875"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0.45pt;margin-top:6.45pt;height:29.45pt;width:52.5pt;z-index:251661312;mso-width-relative:page;mso-height-relative:page;" filled="f" stroked="t" coordsize="21600,21600" o:gfxdata="UEsFBgAAAAAAAAAAAAAAAAAAAAAAAFBLAwQKAAAAAACHTuJAAAAAAAAAAAAAAAAABAAAAGRycy9Q&#10;SwMEFAAAAAgAh07iQNisv3HXAAAACAEAAA8AAABkcnMvZG93bnJldi54bWxNj8tOwzAQRfdI/IM1&#10;SOyonSp9pXG6qARCFQtaEN1OY5ME4nEUO2n5e6YrWM3jXt05k28urhWj7UPjSUMyUSAsld40VGl4&#10;f3t8WIIIEclg68lq+LEBNsXtTY6Z8Wfa2/EQK8EhFDLUUMfYZVKGsrYOw8R3llj79L3DyGNfSdPj&#10;mcNdK6dKzaXDhvhCjZ3d1rb8PgxOg2s+cHdUL7N0O98dn8cv97oYnrS+v0vUGkS0l/hnhis+o0PB&#10;TCc/kAmi1ZCqFTt5P+V61dMZNycNi2QJssjl/weKX1BLAwQUAAAACACHTuJA04kyCu4BAADAAwAA&#10;DgAAAGRycy9lMm9Eb2MueG1srVPJjhMxEL0j8Q+W76STIZta6cxhouGCIBLLveJ2d1vyJpcnnfwE&#10;P4DEDU4cufM3DJ9B2R0yC5c54INVruW53nN5dXkwmu1lQOVsxSejMWfSClcr21b8w/vrF0vOMIKt&#10;QTsrK36UyC/Xz5+tel/KC9c5XcvACMRi2fuKdzH6sihQdNIAjpyXloKNCwYiHUNb1AF6Qje6uBiP&#10;50XvQu2DExKRvJshyE+I4SmArmmUkBsnboy0cUANUkMkStgpj3ydu20aKeLbpkEZma44MY15p0vI&#10;3qW9WK+gbAP4TolTC/CUFh5xMqAsXXqG2kAEdhPUP1BGieDQNXEknCkGIlkRYjEZP9LmXQdeZi4k&#10;Nfqz6Pj/YMWb/TYwVVd8ypkFQw9++/nHr09ff//8Qvvt929smkTqPZaUe2W34XRCvw2J8aEJhjVa&#10;+Y80TVkDYsUOWeLjWWJ5iEyQcz6fL2YkvqDQy8V0PJkl9GKASXA+YHwlnWHJqLhWNikAJexfYxxS&#10;/6Ykt3XXSmvyQ6kt66mF2XIxI3yg0WxoJMg0nuihbTkD3dLMixgyJDqt6lSeqjG0uysd2B7SpOR1&#10;6uxBWrp7A9gNeTmU0qA0KtK30MpUfHm/Wluil9Qb9ErWztXHLGP208NmAU5DmCbn/jlX33289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BQAAAAIAIdO4kCKFGY80QAAAJQBAAALAAAAAAAAAAEA&#10;IAAAAHoDAABfcmVscy8ucmVsc1BLAQIUABQAAAAIAIdO4kDYrL9x1wAAAAgBAAAPAAAAAAAAAAEA&#10;IAAAADgAAABkcnMvZG93bnJldi54bWxQSwECFAAUAAAACACHTuJA04kyCu4BAADAAwAADgAAAAAA&#10;AAABACAAAAA8AQAAZHJzL2Uyb0RvYy54bWxQSwECFAAKAAAAAACHTuJAAAAAAAAAAAAAAAAABAAA&#10;AAAAAAAAABAAAAAWAAAAZHJzL1BLAQIUAAoAAAAAAIdO4kAAAAAAAAAAAAAAAAAGAAAAAAAAAAAA&#10;EAAAAFYDAABfcmVscy9QSwUGAAAAAAYABgBZAQAAnAUAAAAA&#10;">
                      <v:fill on="f" focussize="0,0"/>
                      <v:stroke weight="1.25pt" color="#000000 [3213]"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eastAsia="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311" w:type="dxa"/>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eastAsia="宋体"/>
                <w:b w:val="0"/>
                <w:bCs w:val="0"/>
                <w:sz w:val="28"/>
                <w:szCs w:val="28"/>
                <w:vertAlign w:val="baseline"/>
                <w:lang w:val="en-US" w:eastAsia="zh-CN"/>
              </w:rPr>
            </w:pPr>
          </w:p>
        </w:tc>
        <w:tc>
          <w:tcPr>
            <w:tcW w:w="2560" w:type="dxa"/>
            <w:vAlign w:val="center"/>
          </w:tcPr>
          <w:p>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eastAsia="宋体"/>
                <w:b w:val="0"/>
                <w:bCs w:val="0"/>
                <w:sz w:val="28"/>
                <w:szCs w:val="28"/>
                <w:vertAlign w:val="baseline"/>
                <w:lang w:val="en-US" w:eastAsia="zh-CN"/>
              </w:rPr>
            </w:pPr>
            <w:r>
              <w:rPr>
                <w:rFonts w:hint="eastAsia" w:ascii="宋体" w:eastAsia="宋体"/>
                <w:b w:val="0"/>
                <w:bCs w:val="0"/>
                <w:sz w:val="28"/>
                <w:szCs w:val="28"/>
                <w:vertAlign w:val="baseline"/>
                <w:lang w:val="en-US" w:eastAsia="zh-CN"/>
              </w:rPr>
              <w:t>“农产品批发零售贸易”中的种养、初加工、配送一体</w:t>
            </w:r>
          </w:p>
        </w:tc>
        <w:tc>
          <w:tcPr>
            <w:tcW w:w="168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eastAsia="宋体"/>
                <w:b w:val="0"/>
                <w:bCs w:val="0"/>
                <w:sz w:val="28"/>
                <w:szCs w:val="28"/>
                <w:vertAlign w:val="baseline"/>
                <w:lang w:val="en-US" w:eastAsia="zh-CN"/>
              </w:rPr>
            </w:pPr>
            <w:r>
              <w:rPr>
                <w:rFonts w:hint="eastAsia" w:ascii="宋体" w:eastAsia="宋体"/>
                <w:b w:val="0"/>
                <w:bCs w:val="0"/>
                <w:sz w:val="28"/>
                <w:szCs w:val="28"/>
                <w:vertAlign w:val="baseline"/>
                <w:lang w:val="en-US" w:eastAsia="zh-CN"/>
              </w:rPr>
              <w:t>10000</w:t>
            </w:r>
          </w:p>
        </w:tc>
        <w:tc>
          <w:tcPr>
            <w:tcW w:w="1812"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eastAsia="宋体"/>
                <w:b/>
                <w:bCs/>
                <w:sz w:val="28"/>
                <w:szCs w:val="28"/>
                <w:vertAlign w:val="baseline"/>
                <w:lang w:val="en-US" w:eastAsia="zh-CN"/>
              </w:rPr>
            </w:pPr>
            <w:r>
              <w:rPr>
                <w:sz w:val="28"/>
                <w:szCs w:val="28"/>
              </w:rPr>
              <mc:AlternateContent>
                <mc:Choice Requires="wps">
                  <w:drawing>
                    <wp:anchor distT="0" distB="0" distL="114300" distR="114300" simplePos="0" relativeHeight="251663360" behindDoc="0" locked="0" layoutInCell="1" allowOverlap="1">
                      <wp:simplePos x="0" y="0"/>
                      <wp:positionH relativeFrom="column">
                        <wp:posOffset>153035</wp:posOffset>
                      </wp:positionH>
                      <wp:positionV relativeFrom="paragraph">
                        <wp:posOffset>200025</wp:posOffset>
                      </wp:positionV>
                      <wp:extent cx="648970" cy="394335"/>
                      <wp:effectExtent l="3810" t="6985" r="13970" b="17780"/>
                      <wp:wrapNone/>
                      <wp:docPr id="5" name="直接连接符 5"/>
                      <wp:cNvGraphicFramePr/>
                      <a:graphic xmlns:a="http://schemas.openxmlformats.org/drawingml/2006/main">
                        <a:graphicData uri="http://schemas.microsoft.com/office/word/2010/wordprocessingShape">
                          <wps:wsp>
                            <wps:cNvCnPr/>
                            <wps:spPr>
                              <a:xfrm flipV="1">
                                <a:off x="0" y="0"/>
                                <a:ext cx="648970" cy="394335"/>
                              </a:xfrm>
                              <a:prstGeom prst="line">
                                <a:avLst/>
                              </a:prstGeom>
                              <a:ln w="15875"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2.05pt;margin-top:15.75pt;height:31.05pt;width:51.1pt;z-index:251663360;mso-width-relative:page;mso-height-relative:page;" filled="f" stroked="t" coordsize="21600,21600" o:gfxdata="UEsFBgAAAAAAAAAAAAAAAAAAAAAAAFBLAwQKAAAAAACHTuJAAAAAAAAAAAAAAAAABAAAAGRycy9Q&#10;SwMEFAAAAAgAh07iQBHtKBDYAAAACAEAAA8AAABkcnMvZG93bnJldi54bWxNj0FPg0AUhO8m/ofN&#10;M/Fmd4EWFXn00ERjGg+1Nu11C09A2beEXWj9925PepzMZOabfHk2nZhocK1lhGimQBCXtmq5Rth9&#10;PN89gHBec6U7y4TwQw6WxfVVrrPKnvidpq2vRShhl2mExvs+k9KVDRntZrYnDt6nHYz2QQ61rAZ9&#10;CuWmk7FSqTS65bDQ6J5WDZXf29EgmHav1wf1tpiv0vXhdfoym/vxBfH2JlJPIDyd/V8YLvgBHYrA&#10;dLQjV050CPE8CkmEJFqAuPhxmoA4IjwmKcgil/8PFL9QSwMEFAAAAAgAh07iQEmfhDnxAQAAwAMA&#10;AA4AAABkcnMvZTJvRG9jLnhtbK1TO24bMRDtA+QOBPtoZcuy5YVWLiw4TZAIyKcfccldAvyBQ+tz&#10;iVwgQLqkSpnet4lzjAy5iuI4jYtsQZAzwzfzHt/Or3bWsI2MqL1r+MlozJl0wrfadQ1//+7mxYwz&#10;TOBaMN7Jhu8l8qvF82fzbajlqe+9aWVkBOKw3oaG9ymFuqpQ9NICjnyQjpLKRwuJjrGr2ghbQrem&#10;Oh2Pz6utj22IXkhEii6HJD8gxqcAeqW0kEsvbq10aUCN0kAiStjrgHxRplVKivRGKZSJmYYT01RW&#10;akL7dV6rxRzqLkLotTiMAE8Z4REnC9pR0yPUEhKw26j/gbJaRI9epZHwthqIFEWIxcn4kTZvewiy&#10;cCGpMRxFx/8HK15vVpHptuFTzhxYevD7T99/fPzy8+4zrfffvrJpFmkbsKbaa7eKhxOGVcyMdypa&#10;powOH8hNRQNixXZF4v1RYrlLTFDw/Gx2eUHiC0pNLs8mk4JeDTAZLkRML6W3LG8abrTLCkANm1eY&#10;qDWV/i7JYedvtDHlFY1jWxphOrsgKgLImoosQVsbiB66jjMwHXlepFgg0Rvd5usZCGO3vjaRbSA7&#10;pXyZN7X7qyz3XgL2Q11JDR6yOtFvYbRt+OzhbeMIJKs36JV3a9/ui4wlTg9b2hxMmJ3z8Fxu//nx&#10;F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UAAAACACHTuJAihRmPNEAAACUAQAACwAAAAAA&#10;AAABACAAAAB+AwAAX3JlbHMvLnJlbHNQSwECFAAUAAAACACHTuJAEe0oENgAAAAIAQAADwAAAAAA&#10;AAABACAAAAA4AAAAZHJzL2Rvd25yZXYueG1sUEsBAhQAFAAAAAgAh07iQEmfhDnxAQAAwAMAAA4A&#10;AAAAAAAAAQAgAAAAPQEAAGRycy9lMm9Eb2MueG1sUEsBAhQACgAAAAAAh07iQAAAAAAAAAAAAAAA&#10;AAQAAAAAAAAAAAAQAAAAFgAAAGRycy9QSwECFAAKAAAAAACHTuJAAAAAAAAAAAAAAAAABgAAAAAA&#10;AAAAABAAAABaAwAAX3JlbHMvUEsFBgAAAAAGAAYAWQEAAKAFAAAAAA==&#10;">
                      <v:fill on="f" focussize="0,0"/>
                      <v:stroke weight="1.25pt" color="#000000 [3213]" miterlimit="8" joinstyle="miter"/>
                      <v:imagedata o:title=""/>
                      <o:lock v:ext="edit" aspectratio="f"/>
                    </v:line>
                  </w:pict>
                </mc:Fallback>
              </mc:AlternateContent>
            </w:r>
          </w:p>
        </w:tc>
        <w:tc>
          <w:tcPr>
            <w:tcW w:w="229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eastAsia="宋体"/>
                <w:b/>
                <w:bCs/>
                <w:sz w:val="28"/>
                <w:szCs w:val="28"/>
                <w:vertAlign w:val="baseline"/>
                <w:lang w:val="en-US" w:eastAsia="zh-CN"/>
              </w:rPr>
            </w:pPr>
            <w:r>
              <w:rPr>
                <w:rFonts w:hint="eastAsia" w:ascii="宋体" w:eastAsia="宋体"/>
                <w:b w:val="0"/>
                <w:bCs w:val="0"/>
                <w:sz w:val="28"/>
                <w:szCs w:val="2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871" w:type="dxa"/>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eastAsia="宋体"/>
                <w:b w:val="0"/>
                <w:bCs w:val="0"/>
                <w:sz w:val="28"/>
                <w:szCs w:val="28"/>
                <w:vertAlign w:val="baseline"/>
                <w:lang w:val="en-US" w:eastAsia="zh-CN"/>
              </w:rPr>
            </w:pPr>
            <w:r>
              <w:rPr>
                <w:rFonts w:hint="eastAsia" w:ascii="宋体" w:eastAsia="宋体"/>
                <w:b w:val="0"/>
                <w:bCs w:val="0"/>
                <w:sz w:val="28"/>
                <w:szCs w:val="28"/>
                <w:vertAlign w:val="baseline"/>
                <w:lang w:val="en-US" w:eastAsia="zh-CN"/>
              </w:rPr>
              <w:t>农产品专业批发市场</w:t>
            </w:r>
          </w:p>
        </w:tc>
        <w:tc>
          <w:tcPr>
            <w:tcW w:w="168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eastAsia="宋体"/>
                <w:b w:val="0"/>
                <w:bCs w:val="0"/>
                <w:sz w:val="28"/>
                <w:szCs w:val="28"/>
                <w:vertAlign w:val="baseline"/>
                <w:lang w:val="en-US" w:eastAsia="zh-CN"/>
              </w:rPr>
            </w:pPr>
            <w:r>
              <w:rPr>
                <w:rFonts w:hint="eastAsia" w:ascii="宋体" w:eastAsia="宋体"/>
                <w:b w:val="0"/>
                <w:bCs w:val="0"/>
                <w:sz w:val="28"/>
                <w:szCs w:val="28"/>
                <w:vertAlign w:val="baseline"/>
                <w:lang w:val="en-US" w:eastAsia="zh-CN"/>
              </w:rPr>
              <w:t>30000</w:t>
            </w:r>
          </w:p>
        </w:tc>
        <w:tc>
          <w:tcPr>
            <w:tcW w:w="1812" w:type="dxa"/>
            <w:vAlign w:val="top"/>
          </w:tcPr>
          <w:p>
            <w:pPr>
              <w:keepNext w:val="0"/>
              <w:keepLines w:val="0"/>
              <w:pageBreakBefore w:val="0"/>
              <w:widowControl w:val="0"/>
              <w:kinsoku/>
              <w:wordWrap/>
              <w:overflowPunct/>
              <w:topLinePunct w:val="0"/>
              <w:autoSpaceDE/>
              <w:autoSpaceDN/>
              <w:bidi w:val="0"/>
              <w:adjustRightInd/>
              <w:spacing w:line="400" w:lineRule="exact"/>
              <w:ind w:firstLine="560" w:firstLineChars="200"/>
              <w:jc w:val="both"/>
              <w:textAlignment w:val="auto"/>
              <w:rPr>
                <w:rFonts w:hint="default" w:ascii="宋体" w:eastAsia="宋体"/>
                <w:b w:val="0"/>
                <w:bCs w:val="0"/>
                <w:sz w:val="28"/>
                <w:szCs w:val="28"/>
                <w:vertAlign w:val="baseline"/>
                <w:lang w:val="en-US" w:eastAsia="zh-CN"/>
              </w:rPr>
            </w:pPr>
            <w:r>
              <w:rPr>
                <w:rFonts w:hint="eastAsia" w:ascii="宋体" w:eastAsia="宋体"/>
                <w:b w:val="0"/>
                <w:bCs w:val="0"/>
                <w:sz w:val="28"/>
                <w:szCs w:val="28"/>
                <w:vertAlign w:val="baseline"/>
                <w:lang w:val="en-US" w:eastAsia="zh-CN"/>
              </w:rPr>
              <w:t>3000</w:t>
            </w:r>
          </w:p>
        </w:tc>
        <w:tc>
          <w:tcPr>
            <w:tcW w:w="2290" w:type="dxa"/>
            <w:vAlign w:val="top"/>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eastAsia="宋体"/>
                <w:b w:val="0"/>
                <w:bCs w:val="0"/>
                <w:sz w:val="28"/>
                <w:szCs w:val="28"/>
                <w:vertAlign w:val="baseline"/>
                <w:lang w:val="en-US" w:eastAsia="zh-CN"/>
              </w:rPr>
            </w:pPr>
            <w:r>
              <w:rPr>
                <w:b w:val="0"/>
                <w:bCs w:val="0"/>
                <w:sz w:val="28"/>
                <w:szCs w:val="28"/>
              </w:rPr>
              <mc:AlternateContent>
                <mc:Choice Requires="wps">
                  <w:drawing>
                    <wp:anchor distT="0" distB="0" distL="114300" distR="114300" simplePos="0" relativeHeight="251662336" behindDoc="0" locked="0" layoutInCell="1" allowOverlap="1">
                      <wp:simplePos x="0" y="0"/>
                      <wp:positionH relativeFrom="column">
                        <wp:posOffset>84455</wp:posOffset>
                      </wp:positionH>
                      <wp:positionV relativeFrom="paragraph">
                        <wp:posOffset>38735</wp:posOffset>
                      </wp:positionV>
                      <wp:extent cx="963295" cy="280670"/>
                      <wp:effectExtent l="1905" t="7620" r="6350" b="16510"/>
                      <wp:wrapNone/>
                      <wp:docPr id="6" name="直接连接符 6"/>
                      <wp:cNvGraphicFramePr/>
                      <a:graphic xmlns:a="http://schemas.openxmlformats.org/drawingml/2006/main">
                        <a:graphicData uri="http://schemas.microsoft.com/office/word/2010/wordprocessingShape">
                          <wps:wsp>
                            <wps:cNvCnPr/>
                            <wps:spPr>
                              <a:xfrm flipV="1">
                                <a:off x="0" y="0"/>
                                <a:ext cx="963295" cy="280670"/>
                              </a:xfrm>
                              <a:prstGeom prst="line">
                                <a:avLst/>
                              </a:prstGeom>
                              <a:ln w="15875"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6.65pt;margin-top:3.05pt;height:22.1pt;width:75.85pt;z-index:251662336;mso-width-relative:page;mso-height-relative:page;" filled="f" stroked="t" coordsize="21600,21600" o:gfxdata="UEsFBgAAAAAAAAAAAAAAAAAAAAAAAFBLAwQKAAAAAACHTuJAAAAAAAAAAAAAAAAABAAAAGRycy9Q&#10;SwMEFAAAAAgAh07iQOMiU+PWAAAABwEAAA8AAABkcnMvZG93bnJldi54bWxNj8FOwzAQRO9I/IO1&#10;SNyoHUJSFOL0UAmEKg5QUHvdxksSiO0odtLy92xPcBzNaOZNuTrZXsw0hs47DclCgSBXe9O5RsPH&#10;++PNPYgQ0RnsvSMNPxRgVV1elFgYf3RvNG9jI7jEhQI1tDEOhZShbsliWPiBHHuffrQYWY6NNCMe&#10;udz28lapXFrsHC+0ONC6pfp7O1kNttvhZq9esrt1vtk/z1/2dTk9aX19lagHEJFO8S8MZ3xGh4qZ&#10;Dn5yJoiedZpyUkOegDjbecbXDhoylYKsSvmfv/oFUEsDBBQAAAAIAIdO4kDtZvQE8AEAAMADAAAO&#10;AAAAZHJzL2Uyb0RvYy54bWytU72OEzEQ7pF4B8s92VzQ5XKrbK646GgQROKnn3jtXUv+k8eXTV6C&#10;F0Cig4qSnrfheAzG3hCOo7mCLazxzPib+b6ZXV7trWE7GVF71/CzyZQz6YRvtesa/u7tzbMFZ5jA&#10;tWC8kw0/SORXq6dPlkOo5cz33rQyMgJxWA+h4X1Koa4qFL20gBMfpKOg8tFComvsqjbCQOjWVLPp&#10;dF4NPrYheiERybseg/yIGB8D6JXSQq69uLXSpRE1SgOJKGGvA/JV6VYpKdJrpVAmZhpOTFM5qQjZ&#10;23xWqyXUXYTQa3FsAR7TwgNOFrSjoieoNSRgt1H/A2W1iB69ShPhbTUSKYoQi7PpA23e9BBk4UJS&#10;YziJjv8PVrzabSLTbcPnnDmwNPC7j99+fPj88/snOu++fmHzLNIQsKbca7eJxxuGTcyM9ypapowO&#10;72mbigbEiu2LxIeTxHKfmCDn5fz57PKcM0Gh2WI6vygjqEaYDBciphfSW5aNhhvtsgJQw+4lJipN&#10;qb9Tstv5G21MmaJxbKAWzhcXGR9oNRWtBJk2ED10HWdgOtp5kWKBRG90m59nIIzd9tpEtoO8KeXL&#10;vKncX2m59hqwH/NKaNwhqxP9Fkbbhi/uvzaOQLJ6o17Z2vr2UGQsfhpsKXNcwrw59+/l9Z8fb/U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UAAAACACHTuJAihRmPNEAAACUAQAACwAAAAAAAAAB&#10;ACAAAAB7AwAAX3JlbHMvLnJlbHNQSwECFAAUAAAACACHTuJA4yJT49YAAAAHAQAADwAAAAAAAAAB&#10;ACAAAAA4AAAAZHJzL2Rvd25yZXYueG1sUEsBAhQAFAAAAAgAh07iQO1m9ATwAQAAwAMAAA4AAAAA&#10;AAAAAQAgAAAAOwEAAGRycy9lMm9Eb2MueG1sUEsBAhQACgAAAAAAh07iQAAAAAAAAAAAAAAAAAQA&#10;AAAAAAAAAAAQAAAAFgAAAGRycy9QSwECFAAKAAAAAACHTuJAAAAAAAAAAAAAAAAABgAAAAAAAAAA&#10;ABAAAABXAwAAX3JlbHMvUEsFBgAAAAAGAAYAWQEAAJ0FAAAAAA==&#10;">
                      <v:fill on="f" focussize="0,0"/>
                      <v:stroke weight="1.25pt" color="#000000 [3213]" miterlimit="8" joinstyle="miter"/>
                      <v:imagedata o:title=""/>
                      <o:lock v:ext="edit" aspectratio="f"/>
                    </v:line>
                  </w:pict>
                </mc:Fallback>
              </mc:AlternateContent>
            </w:r>
          </w:p>
        </w:tc>
      </w:tr>
    </w:tbl>
    <w:p>
      <w:pPr>
        <w:spacing w:line="600" w:lineRule="exact"/>
        <w:ind w:left="0"/>
        <w:jc w:val="center"/>
        <w:rPr>
          <w:rFonts w:hint="eastAsia" w:ascii="方正大标宋简体" w:hAnsi="方正大标宋简体" w:eastAsia="方正大标宋简体" w:cs="方正大标宋简体"/>
          <w:b w:val="0"/>
          <w:bCs w:val="0"/>
          <w:sz w:val="36"/>
          <w:szCs w:val="36"/>
          <w:lang w:val="en-US" w:eastAsia="zh-CN"/>
        </w:rPr>
      </w:pPr>
      <w:r>
        <w:rPr>
          <w:rFonts w:hint="eastAsia" w:ascii="方正大标宋简体" w:hAnsi="方正大标宋简体" w:eastAsia="方正大标宋简体" w:cs="方正大标宋简体"/>
          <w:b w:val="0"/>
          <w:bCs w:val="0"/>
          <w:sz w:val="36"/>
          <w:szCs w:val="36"/>
          <w:lang w:val="en-US" w:eastAsia="zh-CN"/>
        </w:rPr>
        <w:t>农业产业化市级重点龙头企业申报基本标准</w:t>
      </w:r>
    </w:p>
    <w:p>
      <w:pPr>
        <w:keepNext w:val="0"/>
        <w:keepLines w:val="0"/>
        <w:pageBreakBefore w:val="0"/>
        <w:widowControl w:val="0"/>
        <w:kinsoku/>
        <w:wordWrap/>
        <w:overflowPunct/>
        <w:topLinePunct w:val="0"/>
        <w:autoSpaceDE/>
        <w:autoSpaceDN/>
        <w:bidi w:val="0"/>
        <w:adjustRightInd/>
        <w:snapToGrid/>
        <w:spacing w:line="460" w:lineRule="exact"/>
        <w:ind w:left="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备注：</w:t>
      </w:r>
    </w:p>
    <w:p>
      <w:pPr>
        <w:keepNext w:val="0"/>
        <w:keepLines w:val="0"/>
        <w:pageBreakBefore w:val="0"/>
        <w:widowControl w:val="0"/>
        <w:kinsoku/>
        <w:wordWrap/>
        <w:overflowPunct/>
        <w:topLinePunct w:val="0"/>
        <w:autoSpaceDE/>
        <w:autoSpaceDN/>
        <w:bidi w:val="0"/>
        <w:adjustRightInd/>
        <w:snapToGrid/>
        <w:spacing w:line="460" w:lineRule="exact"/>
        <w:ind w:left="0"/>
        <w:jc w:val="both"/>
        <w:textAlignment w:val="auto"/>
        <w:outlineLvl w:val="9"/>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sz w:val="24"/>
          <w:szCs w:val="24"/>
          <w:lang w:val="en-US" w:eastAsia="zh-CN"/>
        </w:rPr>
        <w:t>1.农产品电商企业要</w:t>
      </w:r>
      <w:r>
        <w:rPr>
          <w:rFonts w:hint="eastAsia" w:ascii="仿宋_GB2312" w:hAnsi="仿宋_GB2312" w:eastAsia="仿宋_GB2312" w:cs="仿宋_GB2312"/>
          <w:kern w:val="2"/>
          <w:sz w:val="24"/>
          <w:szCs w:val="24"/>
          <w:lang w:bidi="ar-SA"/>
        </w:rPr>
        <w:t>诚信守法经营，应按时发放工资、按时缴纳社会保险、按月计提固定资产折旧，无重大涉税违法行为</w:t>
      </w:r>
      <w:r>
        <w:rPr>
          <w:rFonts w:hint="eastAsia" w:ascii="仿宋_GB2312" w:hAnsi="仿宋_GB2312" w:eastAsia="仿宋_GB2312" w:cs="仿宋_GB2312"/>
          <w:kern w:val="2"/>
          <w:sz w:val="24"/>
          <w:szCs w:val="24"/>
          <w:lang w:eastAsia="zh-CN" w:bidi="ar-SA"/>
        </w:rPr>
        <w:t>。</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jc w:val="both"/>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bidi="ar-SA"/>
        </w:rPr>
        <w:t>对申报前2年销售收入增长都不低于30%，以及与建档立卡贫困户建立稳定农产品产销关系或者帮扶关系的农业企业</w:t>
      </w:r>
      <w:r>
        <w:rPr>
          <w:rFonts w:hint="eastAsia" w:ascii="仿宋_GB2312" w:hAnsi="仿宋_GB2312" w:eastAsia="仿宋_GB2312" w:cs="仿宋_GB2312"/>
          <w:kern w:val="2"/>
          <w:sz w:val="24"/>
          <w:szCs w:val="24"/>
          <w:lang w:eastAsia="zh-CN" w:bidi="ar-SA"/>
        </w:rPr>
        <w:t>，根据所属行业，申报标准在上表的基础上下浮</w:t>
      </w:r>
      <w:r>
        <w:rPr>
          <w:rFonts w:hint="eastAsia" w:ascii="仿宋_GB2312" w:hAnsi="仿宋_GB2312" w:eastAsia="仿宋_GB2312" w:cs="仿宋_GB2312"/>
          <w:kern w:val="2"/>
          <w:sz w:val="24"/>
          <w:szCs w:val="24"/>
          <w:lang w:val="en-US" w:eastAsia="zh-CN" w:bidi="ar-SA"/>
        </w:rPr>
        <w:t>10%。</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jc w:val="both"/>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加工带动型：一是指在本市内建立农产品生产基地200亩以上的企业或解决本地农民就业100人以上的企业；二是指年收购本地农户生产农产品12000吨以上或出口1500万元以上的企业。</w:t>
      </w:r>
    </w:p>
    <w:p>
      <w:pPr>
        <w:spacing w:line="600" w:lineRule="exact"/>
        <w:ind w:left="0"/>
        <w:jc w:val="center"/>
        <w:rPr>
          <w:rFonts w:hint="eastAsia" w:ascii="仿宋_GB2312" w:hAnsi="仿宋_GB2312" w:eastAsia="仿宋_GB2312" w:cs="仿宋_GB2312"/>
          <w:b/>
          <w:bCs/>
          <w:sz w:val="36"/>
          <w:szCs w:val="36"/>
          <w:lang w:val="en-US" w:eastAsia="zh-CN"/>
        </w:rPr>
      </w:pPr>
    </w:p>
    <w:p>
      <w:pPr>
        <w:spacing w:line="600" w:lineRule="exact"/>
        <w:ind w:left="0"/>
        <w:jc w:val="center"/>
        <w:rPr>
          <w:rFonts w:hint="eastAsia" w:ascii="仿宋_GB2312" w:hAnsi="仿宋_GB2312" w:eastAsia="仿宋_GB2312" w:cs="仿宋_GB2312"/>
          <w:b/>
          <w:bCs/>
          <w:sz w:val="36"/>
          <w:szCs w:val="36"/>
          <w:lang w:val="en-US" w:eastAsia="zh-CN"/>
        </w:rPr>
        <w:sectPr>
          <w:headerReference r:id="rId3" w:type="default"/>
          <w:footerReference r:id="rId4" w:type="default"/>
          <w:footerReference r:id="rId5" w:type="even"/>
          <w:pgSz w:w="11907" w:h="16840"/>
          <w:pgMar w:top="1440" w:right="1531" w:bottom="1440" w:left="1531" w:header="851" w:footer="1134" w:gutter="0"/>
          <w:pgNumType w:fmt="numberInDash"/>
          <w:cols w:space="0" w:num="1"/>
          <w:rtlGutter w:val="0"/>
          <w:docGrid w:type="lines" w:linePitch="436" w:charSpace="0"/>
        </w:sectPr>
      </w:pPr>
    </w:p>
    <w:p>
      <w:pPr>
        <w:spacing w:line="590" w:lineRule="exact"/>
        <w:rPr>
          <w:rFonts w:hint="eastAsia" w:ascii="黑体" w:hAnsi="黑体" w:eastAsia="黑体" w:cs="黑体"/>
          <w:bCs/>
          <w:sz w:val="32"/>
          <w:szCs w:val="32"/>
        </w:rPr>
      </w:pPr>
      <w:r>
        <w:rPr>
          <w:rFonts w:hint="eastAsia" w:ascii="黑体" w:hAnsi="黑体" w:eastAsia="黑体" w:cs="黑体"/>
          <w:bCs/>
          <w:sz w:val="32"/>
          <w:szCs w:val="32"/>
        </w:rPr>
        <w:t>附表2</w:t>
      </w:r>
    </w:p>
    <w:p>
      <w:pPr>
        <w:spacing w:line="590" w:lineRule="exact"/>
        <w:jc w:val="center"/>
        <w:rPr>
          <w:rFonts w:hint="eastAsia" w:eastAsia="方正小标宋简体" w:cs="方正小标宋简体"/>
          <w:sz w:val="36"/>
          <w:szCs w:val="36"/>
        </w:rPr>
      </w:pPr>
      <w:r>
        <w:rPr>
          <w:rFonts w:hint="eastAsia" w:eastAsia="方正小标宋简体" w:cs="方正小标宋简体"/>
          <w:sz w:val="36"/>
          <w:szCs w:val="36"/>
        </w:rPr>
        <w:t>企业申报情况表</w:t>
      </w:r>
    </w:p>
    <w:tbl>
      <w:tblPr>
        <w:tblStyle w:val="7"/>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800"/>
        <w:gridCol w:w="133"/>
        <w:gridCol w:w="1055"/>
        <w:gridCol w:w="72"/>
        <w:gridCol w:w="180"/>
        <w:gridCol w:w="180"/>
        <w:gridCol w:w="360"/>
        <w:gridCol w:w="180"/>
        <w:gridCol w:w="180"/>
        <w:gridCol w:w="540"/>
        <w:gridCol w:w="5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企业名称（盖章）</w:t>
            </w:r>
          </w:p>
        </w:tc>
        <w:tc>
          <w:tcPr>
            <w:tcW w:w="3420" w:type="dxa"/>
            <w:gridSpan w:val="6"/>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eastAsia="仿宋_GB2312" w:cs="仿宋_GB2312"/>
                <w:bCs/>
                <w:sz w:val="24"/>
                <w:lang w:eastAsia="zh-CN"/>
              </w:rPr>
            </w:pPr>
            <w:r>
              <w:rPr>
                <w:rFonts w:hint="eastAsia" w:cs="仿宋_GB2312"/>
                <w:bCs/>
                <w:sz w:val="24"/>
                <w:lang w:val="en-US" w:eastAsia="zh-CN"/>
              </w:rPr>
              <w:t xml:space="preserve"> </w:t>
            </w:r>
          </w:p>
        </w:tc>
        <w:tc>
          <w:tcPr>
            <w:tcW w:w="126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行业类型</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eastAsia="仿宋_GB2312" w:cs="仿宋_GB2312"/>
                <w:bCs/>
                <w:sz w:val="24"/>
                <w:lang w:eastAsia="zh-CN"/>
              </w:rPr>
            </w:pPr>
            <w:r>
              <w:rPr>
                <w:rFonts w:hint="eastAsia" w:cs="仿宋_GB2312"/>
                <w:bCs/>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cs="仿宋_GB2312"/>
                <w:bCs/>
                <w:sz w:val="24"/>
              </w:rPr>
            </w:pPr>
            <w:r>
              <w:rPr>
                <w:rFonts w:hint="eastAsia" w:cs="仿宋_GB2312"/>
                <w:bCs/>
                <w:sz w:val="24"/>
              </w:rPr>
              <w:t>企业登记注册类型</w:t>
            </w:r>
          </w:p>
        </w:tc>
        <w:tc>
          <w:tcPr>
            <w:tcW w:w="18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eastAsia="仿宋_GB2312" w:cs="仿宋_GB2312"/>
                <w:bCs/>
                <w:sz w:val="24"/>
                <w:lang w:eastAsia="zh-CN"/>
              </w:rPr>
            </w:pPr>
            <w:r>
              <w:rPr>
                <w:rFonts w:hint="eastAsia" w:cs="仿宋_GB2312"/>
                <w:bCs/>
                <w:sz w:val="24"/>
                <w:lang w:val="en-US" w:eastAsia="zh-CN"/>
              </w:rPr>
              <w:t xml:space="preserve"> </w:t>
            </w:r>
          </w:p>
        </w:tc>
        <w:tc>
          <w:tcPr>
            <w:tcW w:w="2340" w:type="dxa"/>
            <w:gridSpan w:val="8"/>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企业组织机构代码</w:t>
            </w:r>
          </w:p>
        </w:tc>
        <w:tc>
          <w:tcPr>
            <w:tcW w:w="2520"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eastAsia="仿宋_GB2312" w:cs="仿宋_GB2312"/>
                <w:bCs/>
                <w:sz w:val="24"/>
                <w:lang w:eastAsia="zh-CN"/>
              </w:rPr>
            </w:pPr>
            <w:r>
              <w:rPr>
                <w:rFonts w:hint="eastAsia" w:cs="仿宋_GB2312"/>
                <w:bCs/>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cs="仿宋_GB2312"/>
                <w:bCs/>
                <w:sz w:val="24"/>
              </w:rPr>
            </w:pPr>
            <w:r>
              <w:rPr>
                <w:rFonts w:hint="eastAsia" w:cs="仿宋_GB2312"/>
                <w:bCs/>
                <w:sz w:val="24"/>
              </w:rPr>
              <w:t>企  业  地  址</w:t>
            </w:r>
          </w:p>
        </w:tc>
        <w:tc>
          <w:tcPr>
            <w:tcW w:w="3960" w:type="dxa"/>
            <w:gridSpan w:val="8"/>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eastAsia="仿宋_GB2312" w:cs="仿宋_GB2312"/>
                <w:bCs/>
                <w:sz w:val="24"/>
                <w:lang w:eastAsia="zh-CN"/>
              </w:rPr>
            </w:pPr>
            <w:r>
              <w:rPr>
                <w:rFonts w:hint="eastAsia" w:cs="仿宋_GB2312"/>
                <w:bCs/>
                <w:sz w:val="24"/>
                <w:lang w:val="en-US" w:eastAsia="zh-CN"/>
              </w:rPr>
              <w:t xml:space="preserve"> </w:t>
            </w:r>
          </w:p>
        </w:tc>
        <w:tc>
          <w:tcPr>
            <w:tcW w:w="1260"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邮政编码</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eastAsia="仿宋_GB2312" w:cs="仿宋_GB2312"/>
                <w:bCs/>
                <w:sz w:val="24"/>
                <w:lang w:eastAsia="zh-CN"/>
              </w:rPr>
            </w:pPr>
            <w:r>
              <w:rPr>
                <w:rFonts w:hint="eastAsia" w:cs="仿宋_GB2312"/>
                <w:bCs/>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cs="仿宋_GB2312"/>
                <w:bCs/>
                <w:sz w:val="24"/>
              </w:rPr>
            </w:pPr>
            <w:r>
              <w:rPr>
                <w:rFonts w:hint="eastAsia" w:cs="仿宋_GB2312"/>
                <w:bCs/>
                <w:sz w:val="24"/>
              </w:rPr>
              <w:t>创  办  时  间</w:t>
            </w:r>
          </w:p>
        </w:tc>
        <w:tc>
          <w:tcPr>
            <w:tcW w:w="18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eastAsia="仿宋_GB2312" w:cs="仿宋_GB2312"/>
                <w:bCs/>
                <w:sz w:val="24"/>
                <w:lang w:eastAsia="zh-CN"/>
              </w:rPr>
            </w:pPr>
            <w:r>
              <w:rPr>
                <w:rFonts w:hint="eastAsia" w:cs="仿宋_GB2312"/>
                <w:bCs/>
                <w:sz w:val="24"/>
                <w:lang w:val="en-US" w:eastAsia="zh-CN"/>
              </w:rPr>
              <w:t xml:space="preserve"> </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邮箱</w:t>
            </w:r>
          </w:p>
        </w:tc>
        <w:tc>
          <w:tcPr>
            <w:tcW w:w="3420" w:type="dxa"/>
            <w:gridSpan w:val="7"/>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eastAsia="仿宋_GB2312" w:cs="仿宋_GB2312"/>
                <w:bCs/>
                <w:sz w:val="24"/>
                <w:lang w:eastAsia="zh-CN"/>
              </w:rPr>
            </w:pPr>
            <w:r>
              <w:rPr>
                <w:rFonts w:hint="eastAsia" w:cs="仿宋_GB2312"/>
                <w:bCs/>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法人代表及</w:t>
            </w:r>
          </w:p>
          <w:p>
            <w:pPr>
              <w:spacing w:line="380" w:lineRule="exact"/>
              <w:jc w:val="center"/>
              <w:rPr>
                <w:rFonts w:hint="eastAsia" w:cs="仿宋_GB2312"/>
                <w:bCs/>
                <w:sz w:val="24"/>
              </w:rPr>
            </w:pPr>
            <w:r>
              <w:rPr>
                <w:rFonts w:hint="eastAsia" w:cs="仿宋_GB2312"/>
                <w:bCs/>
                <w:sz w:val="24"/>
              </w:rPr>
              <w:t>联系电话</w:t>
            </w:r>
          </w:p>
        </w:tc>
        <w:tc>
          <w:tcPr>
            <w:tcW w:w="306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eastAsia="仿宋_GB2312" w:cs="仿宋_GB2312"/>
                <w:bCs/>
                <w:sz w:val="24"/>
                <w:lang w:eastAsia="zh-CN"/>
              </w:rPr>
            </w:pPr>
            <w:r>
              <w:rPr>
                <w:rFonts w:hint="eastAsia" w:cs="仿宋_GB2312"/>
                <w:bCs/>
                <w:sz w:val="24"/>
                <w:lang w:val="en-US" w:eastAsia="zh-CN"/>
              </w:rPr>
              <w:t xml:space="preserve"> </w:t>
            </w:r>
          </w:p>
        </w:tc>
        <w:tc>
          <w:tcPr>
            <w:tcW w:w="1620" w:type="dxa"/>
            <w:gridSpan w:val="6"/>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联系人及</w:t>
            </w:r>
          </w:p>
          <w:p>
            <w:pPr>
              <w:spacing w:line="380" w:lineRule="exact"/>
              <w:jc w:val="center"/>
              <w:rPr>
                <w:rFonts w:hint="eastAsia" w:cs="仿宋_GB2312"/>
                <w:bCs/>
                <w:sz w:val="24"/>
              </w:rPr>
            </w:pPr>
            <w:r>
              <w:rPr>
                <w:rFonts w:hint="eastAsia" w:cs="仿宋_GB2312"/>
                <w:bCs/>
                <w:sz w:val="24"/>
              </w:rPr>
              <w:t>联系电话</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eastAsia="仿宋_GB2312" w:cs="仿宋_GB2312"/>
                <w:bCs/>
                <w:sz w:val="24"/>
                <w:lang w:eastAsia="zh-CN"/>
              </w:rPr>
            </w:pPr>
            <w:r>
              <w:rPr>
                <w:rFonts w:hint="eastAsia" w:cs="仿宋_GB2312"/>
                <w:bCs/>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企业主营产品</w:t>
            </w:r>
          </w:p>
          <w:p>
            <w:pPr>
              <w:spacing w:line="380" w:lineRule="exact"/>
              <w:jc w:val="center"/>
              <w:rPr>
                <w:rFonts w:hint="eastAsia" w:cs="仿宋_GB2312"/>
                <w:bCs/>
                <w:sz w:val="24"/>
              </w:rPr>
            </w:pPr>
            <w:r>
              <w:rPr>
                <w:rFonts w:hint="eastAsia" w:cs="仿宋_GB2312"/>
                <w:bCs/>
                <w:sz w:val="24"/>
              </w:rPr>
              <w:t>（业务）</w:t>
            </w:r>
          </w:p>
        </w:tc>
        <w:tc>
          <w:tcPr>
            <w:tcW w:w="6660" w:type="dxa"/>
            <w:gridSpan w:val="1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p>
            <w:pPr>
              <w:spacing w:line="380" w:lineRule="exact"/>
              <w:jc w:val="center"/>
              <w:rPr>
                <w:rFonts w:hint="eastAsia" w:cs="仿宋_GB2312"/>
                <w:bCs/>
                <w:sz w:val="24"/>
              </w:rPr>
            </w:pPr>
          </w:p>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项          目</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单位</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代号</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lang w:val="en-US" w:eastAsia="zh-CN"/>
              </w:rPr>
              <w:t>2018</w:t>
            </w:r>
            <w:r>
              <w:rPr>
                <w:rFonts w:hint="eastAsia" w:cs="仿宋_GB2312"/>
                <w:bCs/>
                <w:sz w:val="24"/>
              </w:rPr>
              <w:t>年</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20</w:t>
            </w:r>
            <w:r>
              <w:rPr>
                <w:rFonts w:hint="eastAsia" w:cs="仿宋_GB2312"/>
                <w:bCs/>
                <w:sz w:val="24"/>
                <w:lang w:val="en-US" w:eastAsia="zh-CN"/>
              </w:rPr>
              <w:t>19</w:t>
            </w:r>
            <w:r>
              <w:rPr>
                <w:rFonts w:hint="eastAsia" w:cs="仿宋_GB2312"/>
                <w:bCs/>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cs="仿宋_GB2312"/>
                <w:bCs/>
                <w:sz w:val="24"/>
              </w:rPr>
            </w:pPr>
            <w:r>
              <w:rPr>
                <w:rFonts w:hint="eastAsia" w:cs="仿宋_GB2312"/>
                <w:bCs/>
                <w:sz w:val="24"/>
              </w:rPr>
              <w:t>一、企业经营情况</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1.注册资本金</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万元</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1</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2.总资产</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万元</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2</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其中：固定资产</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万元</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3</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3.资产负债率</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4</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4.企业贷款余额</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万元</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5</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5.企业销售收入（市场交易额）</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万元</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6</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480" w:firstLineChars="200"/>
              <w:rPr>
                <w:rFonts w:hint="eastAsia" w:cs="仿宋_GB2312"/>
                <w:bCs/>
                <w:sz w:val="24"/>
              </w:rPr>
            </w:pPr>
            <w:r>
              <w:rPr>
                <w:rFonts w:hint="eastAsia" w:cs="仿宋_GB2312"/>
                <w:bCs/>
                <w:sz w:val="24"/>
              </w:rPr>
              <w:t>其中：农产品销售收入</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万元</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7</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480" w:firstLineChars="200"/>
              <w:rPr>
                <w:rFonts w:hint="eastAsia" w:cs="仿宋_GB2312"/>
                <w:bCs/>
                <w:sz w:val="24"/>
              </w:rPr>
            </w:pPr>
            <w:r>
              <w:rPr>
                <w:rFonts w:hint="eastAsia" w:cs="仿宋_GB2312"/>
                <w:bCs/>
                <w:sz w:val="24"/>
              </w:rPr>
              <w:t xml:space="preserve">      出口总额</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万美元</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8</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6.主营产品销售率</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9</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7.上交税金</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万元</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10</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8.减免税金</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万元</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11</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9.实际利用外资总额</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万美元</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12</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cs="仿宋_GB2312"/>
                <w:bCs/>
                <w:sz w:val="24"/>
              </w:rPr>
            </w:pPr>
            <w:r>
              <w:rPr>
                <w:rFonts w:hint="eastAsia" w:cs="仿宋_GB2312"/>
                <w:bCs/>
                <w:sz w:val="24"/>
              </w:rPr>
              <w:t>二、基地情况</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1.种植基地面积</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亩</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13</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480" w:firstLineChars="200"/>
              <w:rPr>
                <w:rFonts w:hint="eastAsia" w:cs="仿宋_GB2312"/>
                <w:bCs/>
                <w:sz w:val="24"/>
              </w:rPr>
            </w:pPr>
            <w:r>
              <w:rPr>
                <w:rFonts w:hint="eastAsia" w:cs="仿宋_GB2312"/>
                <w:bCs/>
                <w:sz w:val="24"/>
              </w:rPr>
              <w:t>⑴自有基地种植面积</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亩</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14</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480" w:firstLineChars="200"/>
              <w:rPr>
                <w:rFonts w:hint="eastAsia" w:cs="仿宋_GB2312"/>
                <w:bCs/>
                <w:sz w:val="24"/>
              </w:rPr>
            </w:pPr>
            <w:r>
              <w:rPr>
                <w:rFonts w:hint="eastAsia" w:cs="仿宋_GB2312"/>
                <w:bCs/>
                <w:sz w:val="24"/>
              </w:rPr>
              <w:t>⑵本市内自有种植面积</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亩</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15</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2.水产养殖面积</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亩</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16</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480" w:firstLineChars="200"/>
              <w:rPr>
                <w:rFonts w:hint="eastAsia" w:cs="仿宋_GB2312"/>
                <w:bCs/>
                <w:sz w:val="24"/>
              </w:rPr>
            </w:pPr>
            <w:r>
              <w:rPr>
                <w:rFonts w:hint="eastAsia" w:cs="仿宋_GB2312"/>
                <w:bCs/>
                <w:sz w:val="24"/>
              </w:rPr>
              <w:t>⑴自有基地水产养殖面积</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亩</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17</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480" w:firstLineChars="200"/>
              <w:rPr>
                <w:rFonts w:hint="eastAsia" w:cs="仿宋_GB2312"/>
                <w:bCs/>
                <w:sz w:val="24"/>
              </w:rPr>
            </w:pPr>
            <w:r>
              <w:rPr>
                <w:rFonts w:hint="eastAsia" w:cs="仿宋_GB2312"/>
                <w:bCs/>
                <w:sz w:val="24"/>
              </w:rPr>
              <w:t>⑵本市内自有水产养殖面积</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亩</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18</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3.家禽饲养量</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万只</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19</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480" w:firstLineChars="200"/>
              <w:rPr>
                <w:rFonts w:hint="eastAsia" w:cs="仿宋_GB2312"/>
                <w:bCs/>
                <w:sz w:val="24"/>
              </w:rPr>
            </w:pPr>
            <w:r>
              <w:rPr>
                <w:rFonts w:hint="eastAsia" w:cs="仿宋_GB2312"/>
                <w:bCs/>
                <w:sz w:val="24"/>
              </w:rPr>
              <w:t>⑴自有基地家禽饲养量</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万只</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20</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480" w:firstLineChars="200"/>
              <w:rPr>
                <w:rFonts w:hint="eastAsia" w:cs="仿宋_GB2312"/>
                <w:bCs/>
                <w:sz w:val="24"/>
              </w:rPr>
            </w:pPr>
            <w:r>
              <w:rPr>
                <w:rFonts w:hint="eastAsia" w:cs="仿宋_GB2312"/>
                <w:bCs/>
                <w:sz w:val="24"/>
              </w:rPr>
              <w:t>⑵本市内自有家禽饲养量</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万只</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21</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4.牲畜饲养量</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万头</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22</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480" w:firstLineChars="200"/>
              <w:rPr>
                <w:rFonts w:hint="eastAsia" w:cs="仿宋_GB2312"/>
                <w:bCs/>
                <w:sz w:val="24"/>
              </w:rPr>
            </w:pPr>
            <w:r>
              <w:rPr>
                <w:rFonts w:hint="eastAsia" w:cs="仿宋_GB2312"/>
                <w:bCs/>
                <w:sz w:val="24"/>
              </w:rPr>
              <w:t>⑴自有基地牲畜饲养量</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万头</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23</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480" w:firstLineChars="200"/>
              <w:rPr>
                <w:rFonts w:hint="eastAsia" w:cs="仿宋_GB2312"/>
                <w:bCs/>
                <w:sz w:val="24"/>
              </w:rPr>
            </w:pPr>
            <w:r>
              <w:rPr>
                <w:rFonts w:hint="eastAsia" w:cs="仿宋_GB2312"/>
                <w:bCs/>
                <w:sz w:val="24"/>
              </w:rPr>
              <w:t>⑵带动农户牲畜饲养量</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万头</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24</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cs="仿宋_GB2312"/>
                <w:bCs/>
                <w:sz w:val="24"/>
              </w:rPr>
            </w:pPr>
            <w:r>
              <w:rPr>
                <w:rFonts w:hint="eastAsia" w:cs="仿宋_GB2312"/>
                <w:bCs/>
                <w:sz w:val="24"/>
              </w:rPr>
              <w:t>三、带动农户情况</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1.签约带动农民合作社数</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个</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25</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numPr>
                <w:ilvl w:val="0"/>
                <w:numId w:val="2"/>
              </w:numPr>
              <w:spacing w:line="380" w:lineRule="exact"/>
              <w:ind w:firstLine="240" w:firstLineChars="100"/>
              <w:rPr>
                <w:rFonts w:hint="eastAsia" w:cs="仿宋_GB2312"/>
                <w:bCs/>
                <w:sz w:val="24"/>
              </w:rPr>
            </w:pPr>
            <w:r>
              <w:rPr>
                <w:rFonts w:hint="eastAsia" w:cs="仿宋_GB2312"/>
                <w:bCs/>
                <w:sz w:val="24"/>
              </w:rPr>
              <w:t>带动农户数</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户</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26</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其中：⑴合同订单方式</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户</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27</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832" w:firstLineChars="347"/>
              <w:rPr>
                <w:rFonts w:hint="eastAsia" w:cs="仿宋_GB2312"/>
                <w:bCs/>
                <w:sz w:val="24"/>
              </w:rPr>
            </w:pPr>
            <w:r>
              <w:rPr>
                <w:rFonts w:hint="eastAsia" w:cs="仿宋_GB2312"/>
                <w:bCs/>
                <w:sz w:val="24"/>
              </w:rPr>
              <w:t xml:space="preserve"> ⑵其它方式</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户</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28</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3.带动农户增收</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万元</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29</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4.收购本地农户生产的农产品</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吨</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30</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5.收购本地农户生产的农产品出口</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万元</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31</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cs="仿宋_GB2312"/>
                <w:bCs/>
                <w:sz w:val="24"/>
              </w:rPr>
            </w:pPr>
            <w:r>
              <w:rPr>
                <w:rFonts w:hint="eastAsia" w:cs="仿宋_GB2312"/>
                <w:bCs/>
                <w:sz w:val="24"/>
              </w:rPr>
              <w:t>四、企业在岗人数</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人</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32</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1.签订合同职工数</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人</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33</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2.签订本地农民合同职工数</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人</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34</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cs="仿宋_GB2312"/>
                <w:bCs/>
                <w:sz w:val="24"/>
              </w:rPr>
            </w:pPr>
            <w:r>
              <w:rPr>
                <w:rFonts w:hint="eastAsia" w:cs="仿宋_GB2312"/>
                <w:bCs/>
                <w:sz w:val="24"/>
              </w:rPr>
              <w:t>五、企业竞争力指标</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1.专门研发机构</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个</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35</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2.专门研发人员数</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人</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36</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3.当年投入研发经费</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万元</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37</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4.有机食品认证数</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个</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38</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5.绿色食品认证数</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个</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39</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6.无公害农产品认证数</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个</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40</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7.农产品地理标志注册数</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个</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41</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8.GAP认证数</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个</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42</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9.HACCP认证数</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个</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43</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10.ISO系列认证数</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个</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44</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11.FDA认证数</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个</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45</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12.其他标准体系认证数</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个</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46</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13.质检机构数</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个</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47</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14.驰名商标件数</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48</w:t>
            </w:r>
          </w:p>
        </w:tc>
        <w:tc>
          <w:tcPr>
            <w:tcW w:w="2880"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15.企业注册登记地址在厦门市的有效福建省著名商标件数、福建省名牌产品数量</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49</w:t>
            </w:r>
          </w:p>
        </w:tc>
        <w:tc>
          <w:tcPr>
            <w:tcW w:w="2880"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16.国家、省、市级高新技术企业认定情况</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50</w:t>
            </w:r>
          </w:p>
        </w:tc>
        <w:tc>
          <w:tcPr>
            <w:tcW w:w="2880"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17.专利获得情况</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51</w:t>
            </w:r>
          </w:p>
        </w:tc>
        <w:tc>
          <w:tcPr>
            <w:tcW w:w="2880"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bl>
    <w:p>
      <w:pPr>
        <w:spacing w:line="400" w:lineRule="exact"/>
        <w:ind w:left="1440" w:hanging="1440"/>
        <w:rPr>
          <w:rFonts w:hint="eastAsia" w:eastAsia="华文细黑"/>
          <w:bCs/>
          <w:sz w:val="24"/>
        </w:rPr>
      </w:pPr>
    </w:p>
    <w:p>
      <w:pPr>
        <w:spacing w:line="460" w:lineRule="exact"/>
        <w:ind w:left="1440" w:hanging="1440"/>
        <w:rPr>
          <w:rFonts w:hint="eastAsia" w:cs="仿宋_GB2312"/>
          <w:bCs/>
          <w:sz w:val="24"/>
        </w:rPr>
      </w:pPr>
      <w:r>
        <w:rPr>
          <w:rFonts w:hint="eastAsia" w:cs="仿宋_GB2312"/>
          <w:bCs/>
          <w:sz w:val="24"/>
        </w:rPr>
        <w:t>指标解释：</w:t>
      </w:r>
    </w:p>
    <w:p>
      <w:pPr>
        <w:spacing w:line="460" w:lineRule="exact"/>
        <w:ind w:left="1440" w:hanging="1440"/>
        <w:rPr>
          <w:rFonts w:hint="eastAsia" w:cs="仿宋_GB2312"/>
          <w:bCs/>
          <w:sz w:val="24"/>
        </w:rPr>
      </w:pPr>
      <w:r>
        <w:rPr>
          <w:rFonts w:hint="eastAsia" w:cs="仿宋_GB2312"/>
          <w:bCs/>
          <w:sz w:val="24"/>
        </w:rPr>
        <w:t xml:space="preserve">          1.“行业类型”是指种</w:t>
      </w:r>
      <w:r>
        <w:rPr>
          <w:rFonts w:hint="eastAsia" w:cs="仿宋_GB2312"/>
          <w:bCs/>
          <w:sz w:val="24"/>
          <w:lang w:eastAsia="zh-CN"/>
        </w:rPr>
        <w:t>业、花卉</w:t>
      </w:r>
      <w:r>
        <w:rPr>
          <w:rFonts w:hint="eastAsia" w:cs="仿宋_GB2312"/>
          <w:bCs/>
          <w:sz w:val="24"/>
        </w:rPr>
        <w:t>、</w:t>
      </w:r>
      <w:r>
        <w:rPr>
          <w:rFonts w:hint="eastAsia" w:cs="仿宋_GB2312"/>
          <w:bCs/>
          <w:sz w:val="24"/>
          <w:lang w:eastAsia="zh-CN"/>
        </w:rPr>
        <w:t>中药材、生物质利用、</w:t>
      </w:r>
      <w:r>
        <w:rPr>
          <w:rFonts w:hint="eastAsia" w:cs="仿宋_GB2312"/>
          <w:bCs/>
          <w:sz w:val="24"/>
        </w:rPr>
        <w:t>种植</w:t>
      </w:r>
      <w:r>
        <w:rPr>
          <w:rFonts w:hint="eastAsia" w:cs="仿宋_GB2312"/>
          <w:bCs/>
          <w:sz w:val="24"/>
          <w:lang w:eastAsia="zh-CN"/>
        </w:rPr>
        <w:t>业</w:t>
      </w:r>
      <w:r>
        <w:rPr>
          <w:rFonts w:hint="eastAsia" w:cs="仿宋_GB2312"/>
          <w:bCs/>
          <w:sz w:val="24"/>
        </w:rPr>
        <w:t>、养殖</w:t>
      </w:r>
      <w:r>
        <w:rPr>
          <w:rFonts w:hint="eastAsia" w:cs="仿宋_GB2312"/>
          <w:bCs/>
          <w:sz w:val="24"/>
          <w:lang w:eastAsia="zh-CN"/>
        </w:rPr>
        <w:t>业</w:t>
      </w:r>
      <w:r>
        <w:rPr>
          <w:rFonts w:hint="eastAsia" w:cs="仿宋_GB2312"/>
          <w:bCs/>
          <w:sz w:val="24"/>
        </w:rPr>
        <w:t>、</w:t>
      </w:r>
      <w:r>
        <w:rPr>
          <w:rFonts w:hint="eastAsia" w:cs="仿宋_GB2312"/>
          <w:bCs/>
          <w:sz w:val="24"/>
          <w:lang w:eastAsia="zh-CN"/>
        </w:rPr>
        <w:t>加工、流通、</w:t>
      </w:r>
      <w:r>
        <w:rPr>
          <w:rFonts w:hint="eastAsia" w:cs="仿宋_GB2312"/>
          <w:bCs/>
          <w:sz w:val="24"/>
        </w:rPr>
        <w:t>市场等</w:t>
      </w:r>
      <w:r>
        <w:rPr>
          <w:rFonts w:hint="eastAsia" w:cs="仿宋_GB2312"/>
          <w:bCs/>
          <w:sz w:val="24"/>
          <w:lang w:eastAsia="zh-CN"/>
        </w:rPr>
        <w:t>九</w:t>
      </w:r>
      <w:r>
        <w:rPr>
          <w:rFonts w:hint="eastAsia" w:cs="仿宋_GB2312"/>
          <w:bCs/>
          <w:sz w:val="24"/>
        </w:rPr>
        <w:t>大类。</w:t>
      </w:r>
    </w:p>
    <w:p>
      <w:pPr>
        <w:spacing w:line="460" w:lineRule="exact"/>
        <w:ind w:left="1440" w:hanging="252"/>
        <w:rPr>
          <w:rFonts w:hint="eastAsia" w:cs="仿宋_GB2312"/>
          <w:bCs/>
          <w:sz w:val="24"/>
        </w:rPr>
      </w:pPr>
      <w:r>
        <w:rPr>
          <w:rFonts w:hint="eastAsia" w:cs="仿宋_GB2312"/>
          <w:bCs/>
          <w:sz w:val="24"/>
        </w:rPr>
        <w:t>2.“销售收入”是指企业年度实现的销售收入总额。</w:t>
      </w:r>
    </w:p>
    <w:p>
      <w:pPr>
        <w:spacing w:line="460" w:lineRule="exact"/>
        <w:ind w:left="1440" w:hanging="252"/>
        <w:rPr>
          <w:rFonts w:hint="eastAsia" w:cs="仿宋_GB2312"/>
          <w:bCs/>
          <w:sz w:val="24"/>
        </w:rPr>
      </w:pPr>
      <w:r>
        <w:rPr>
          <w:rFonts w:hint="eastAsia" w:cs="仿宋_GB2312"/>
          <w:bCs/>
          <w:sz w:val="24"/>
        </w:rPr>
        <w:t>3.“交易额”是指全年进场交易的各类产品成交额之和。</w:t>
      </w:r>
    </w:p>
    <w:p>
      <w:pPr>
        <w:spacing w:line="460" w:lineRule="exact"/>
        <w:ind w:left="1440" w:hanging="252"/>
        <w:rPr>
          <w:rFonts w:hint="eastAsia" w:cs="仿宋_GB2312"/>
          <w:bCs/>
          <w:sz w:val="24"/>
        </w:rPr>
      </w:pPr>
      <w:r>
        <w:rPr>
          <w:rFonts w:hint="eastAsia" w:cs="仿宋_GB2312"/>
          <w:bCs/>
          <w:sz w:val="24"/>
        </w:rPr>
        <w:t>4.“实际利用外资总额”是指外商对企业投资的实际资金数额。</w:t>
      </w:r>
    </w:p>
    <w:p>
      <w:pPr>
        <w:spacing w:line="460" w:lineRule="exact"/>
        <w:ind w:left="1440" w:hanging="252"/>
        <w:rPr>
          <w:rFonts w:hint="eastAsia" w:cs="仿宋_GB2312"/>
          <w:bCs/>
          <w:sz w:val="24"/>
        </w:rPr>
      </w:pPr>
      <w:r>
        <w:rPr>
          <w:rFonts w:hint="eastAsia" w:cs="仿宋_GB2312"/>
          <w:bCs/>
          <w:sz w:val="24"/>
        </w:rPr>
        <w:t>5.“本市内自有种植面积”是指企业在本市辖区内有自主经营的种植基地面积。</w:t>
      </w:r>
    </w:p>
    <w:p>
      <w:pPr>
        <w:spacing w:line="460" w:lineRule="exact"/>
        <w:ind w:left="1440" w:hanging="252"/>
        <w:rPr>
          <w:rFonts w:hint="eastAsia" w:cs="仿宋_GB2312"/>
          <w:bCs/>
          <w:sz w:val="24"/>
        </w:rPr>
      </w:pPr>
      <w:r>
        <w:rPr>
          <w:rFonts w:hint="eastAsia" w:cs="仿宋_GB2312"/>
          <w:bCs/>
          <w:sz w:val="24"/>
        </w:rPr>
        <w:t>6.“本市内自有水产养殖面积”是指企业在本市辖区内有自主经营的水产养殖基地面积。</w:t>
      </w:r>
    </w:p>
    <w:p>
      <w:pPr>
        <w:spacing w:line="460" w:lineRule="exact"/>
        <w:ind w:left="1440" w:hanging="252"/>
        <w:rPr>
          <w:rFonts w:hint="eastAsia" w:cs="仿宋_GB2312"/>
          <w:bCs/>
          <w:sz w:val="24"/>
        </w:rPr>
      </w:pPr>
      <w:r>
        <w:rPr>
          <w:rFonts w:hint="eastAsia" w:cs="仿宋_GB2312"/>
          <w:bCs/>
          <w:sz w:val="24"/>
        </w:rPr>
        <w:t>7.“带动农户增收”是指带动的农户比从事其他生产或不参加产业化生产当年多增加的收入。</w:t>
      </w:r>
    </w:p>
    <w:p>
      <w:pPr>
        <w:spacing w:line="460" w:lineRule="exact"/>
        <w:ind w:left="1440" w:hanging="252"/>
        <w:rPr>
          <w:rFonts w:hint="eastAsia" w:cs="仿宋_GB2312"/>
          <w:bCs/>
          <w:sz w:val="24"/>
        </w:rPr>
      </w:pPr>
      <w:r>
        <w:rPr>
          <w:rFonts w:hint="eastAsia" w:cs="仿宋_GB2312"/>
          <w:bCs/>
          <w:sz w:val="24"/>
        </w:rPr>
        <w:t>8.“签订本地农民合同职工数”是指企业签订本市户籍的合同职工人数。</w:t>
      </w:r>
    </w:p>
    <w:p>
      <w:pPr>
        <w:rPr>
          <w:rFonts w:hint="eastAsia" w:eastAsia="方正小标宋简体" w:cs="方正小标宋简体"/>
          <w:sz w:val="36"/>
          <w:szCs w:val="36"/>
        </w:rPr>
      </w:pPr>
    </w:p>
    <w:p>
      <w:pPr>
        <w:rPr>
          <w:rFonts w:hint="eastAsia" w:eastAsia="方正小标宋简体" w:cs="方正小标宋简体"/>
          <w:sz w:val="36"/>
          <w:szCs w:val="36"/>
        </w:rPr>
      </w:pPr>
    </w:p>
    <w:p/>
    <w:p/>
    <w:p>
      <w:pPr>
        <w:pStyle w:val="11"/>
      </w:pPr>
    </w:p>
    <w:p>
      <w:pPr>
        <w:pStyle w:val="11"/>
      </w:pPr>
    </w:p>
    <w:p>
      <w:pPr>
        <w:pStyle w:val="11"/>
      </w:pPr>
    </w:p>
    <w:p>
      <w:pPr>
        <w:pStyle w:val="11"/>
      </w:pPr>
    </w:p>
    <w:p>
      <w:pPr>
        <w:pStyle w:val="11"/>
      </w:pPr>
    </w:p>
    <w:p>
      <w:pPr>
        <w:pStyle w:val="11"/>
      </w:pPr>
    </w:p>
    <w:p>
      <w:pPr>
        <w:pStyle w:val="11"/>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大标宋简体">
    <w:altName w:val="方正书宋_GBK"/>
    <w:panose1 w:val="02010601030101010101"/>
    <w:charset w:val="86"/>
    <w:family w:val="auto"/>
    <w:pitch w:val="default"/>
    <w:sig w:usb0="00000000" w:usb1="00000000" w:usb2="00000000" w:usb3="00000000" w:csb0="00040000" w:csb1="00000000"/>
  </w:font>
  <w:font w:name="华文细黑">
    <w:altName w:val="汉仪中等线简"/>
    <w:panose1 w:val="02010600040101010101"/>
    <w:charset w:val="86"/>
    <w:family w:val="auto"/>
    <w:pitch w:val="default"/>
    <w:sig w:usb0="00000000" w:usb1="00000000" w:usb2="00000000" w:usb3="00000000" w:csb0="0004009F" w:csb1="DFD70000"/>
  </w:font>
  <w:font w:name="汉仪中等线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Bdr>
                              <w:top w:val="none" w:color="auto" w:sz="0" w:space="0"/>
                              <w:left w:val="none" w:color="auto" w:sz="0" w:space="0"/>
                              <w:bottom w:val="none" w:color="auto" w:sz="0" w:space="0"/>
                              <w:right w:val="none" w:color="auto" w:sz="0" w:space="0"/>
                            </w:pBdr>
                            <w:jc w:val="right"/>
                            <w:rPr>
                              <w:rFonts w:ascii="宋体"/>
                              <w:sz w:val="28"/>
                              <w:szCs w:val="28"/>
                            </w:rPr>
                          </w:pPr>
                          <w:r>
                            <w:rPr>
                              <w:rFonts w:hint="eastAsia" w:ascii="宋体" w:hAnsi="宋体" w:cs="宋体"/>
                              <w:sz w:val="28"/>
                              <w:szCs w:val="28"/>
                            </w:rPr>
                            <w:t>－</w:t>
                          </w:r>
                          <w:r>
                            <w:rPr>
                              <w:rFonts w:hint="eastAsia" w:ascii="宋体" w:hAnsi="宋体" w:cs="宋体"/>
                              <w:sz w:val="28"/>
                              <w:szCs w:val="28"/>
                              <w:lang w:val="en-US" w:eastAsia="zh-CN"/>
                            </w:rPr>
                            <w:t xml:space="preserve"> </w:t>
                          </w:r>
                          <w:r>
                            <w:rPr>
                              <w:rFonts w:hint="eastAsia" w:ascii="宋体" w:eastAsia="宋体"/>
                              <w:sz w:val="28"/>
                              <w:szCs w:val="28"/>
                            </w:rPr>
                            <w:fldChar w:fldCharType="begin"/>
                          </w:r>
                          <w:r>
                            <w:rPr>
                              <w:rStyle w:val="10"/>
                              <w:rFonts w:hint="eastAsia" w:ascii="宋体" w:eastAsia="宋体"/>
                              <w:sz w:val="28"/>
                              <w:szCs w:val="28"/>
                            </w:rPr>
                            <w:instrText xml:space="preserve">Page</w:instrText>
                          </w:r>
                          <w:r>
                            <w:rPr>
                              <w:rFonts w:hint="eastAsia" w:ascii="宋体" w:eastAsia="宋体"/>
                              <w:sz w:val="28"/>
                              <w:szCs w:val="28"/>
                            </w:rPr>
                            <w:fldChar w:fldCharType="separate"/>
                          </w:r>
                          <w:r>
                            <w:rPr>
                              <w:rStyle w:val="10"/>
                              <w:rFonts w:hint="eastAsia" w:ascii="宋体" w:eastAsia="宋体"/>
                              <w:sz w:val="28"/>
                              <w:szCs w:val="28"/>
                            </w:rPr>
                            <w:t>- 3 -</w:t>
                          </w:r>
                          <w:r>
                            <w:rPr>
                              <w:rFonts w:hint="eastAsia" w:ascii="宋体" w:eastAsia="宋体"/>
                              <w:sz w:val="28"/>
                              <w:szCs w:val="28"/>
                            </w:rPr>
                            <w:fldChar w:fldCharType="end"/>
                          </w:r>
                          <w:r>
                            <w:rPr>
                              <w:rFonts w:hint="eastAsia" w:ascii="宋体"/>
                              <w:sz w:val="28"/>
                              <w:szCs w:val="28"/>
                              <w:lang w:val="en-US" w:eastAsia="zh-CN"/>
                            </w:rPr>
                            <w:t xml:space="preserve"> </w:t>
                          </w:r>
                          <w:r>
                            <w:rPr>
                              <w:rFonts w:hint="eastAsia" w:ascii="宋体" w:hAnsi="宋体" w:cs="宋体"/>
                              <w:sz w:val="28"/>
                              <w:szCs w:val="28"/>
                            </w:rPr>
                            <w:t>－</w:t>
                          </w:r>
                        </w:p>
                        <w:p>
                          <w:pPr>
                            <w:pStyle w:val="4"/>
                            <w:rPr>
                              <w:rStyle w:val="10"/>
                              <w:rFonts w:hint="eastAsia" w:ascii="宋体" w:eastAsia="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JIJGtD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4"/>
                      <w:pBdr>
                        <w:top w:val="none" w:color="auto" w:sz="0" w:space="0"/>
                        <w:left w:val="none" w:color="auto" w:sz="0" w:space="0"/>
                        <w:bottom w:val="none" w:color="auto" w:sz="0" w:space="0"/>
                        <w:right w:val="none" w:color="auto" w:sz="0" w:space="0"/>
                      </w:pBdr>
                      <w:jc w:val="right"/>
                      <w:rPr>
                        <w:rFonts w:ascii="宋体"/>
                        <w:sz w:val="28"/>
                        <w:szCs w:val="28"/>
                      </w:rPr>
                    </w:pPr>
                    <w:r>
                      <w:rPr>
                        <w:rFonts w:hint="eastAsia" w:ascii="宋体" w:hAnsi="宋体" w:cs="宋体"/>
                        <w:sz w:val="28"/>
                        <w:szCs w:val="28"/>
                      </w:rPr>
                      <w:t>－</w:t>
                    </w:r>
                    <w:r>
                      <w:rPr>
                        <w:rFonts w:hint="eastAsia" w:ascii="宋体" w:hAnsi="宋体" w:cs="宋体"/>
                        <w:sz w:val="28"/>
                        <w:szCs w:val="28"/>
                        <w:lang w:val="en-US" w:eastAsia="zh-CN"/>
                      </w:rPr>
                      <w:t xml:space="preserve"> </w:t>
                    </w:r>
                    <w:r>
                      <w:rPr>
                        <w:rFonts w:hint="eastAsia" w:ascii="宋体" w:eastAsia="宋体"/>
                        <w:sz w:val="28"/>
                        <w:szCs w:val="28"/>
                      </w:rPr>
                      <w:fldChar w:fldCharType="begin"/>
                    </w:r>
                    <w:r>
                      <w:rPr>
                        <w:rStyle w:val="10"/>
                        <w:rFonts w:hint="eastAsia" w:ascii="宋体" w:eastAsia="宋体"/>
                        <w:sz w:val="28"/>
                        <w:szCs w:val="28"/>
                      </w:rPr>
                      <w:instrText xml:space="preserve">Page</w:instrText>
                    </w:r>
                    <w:r>
                      <w:rPr>
                        <w:rFonts w:hint="eastAsia" w:ascii="宋体" w:eastAsia="宋体"/>
                        <w:sz w:val="28"/>
                        <w:szCs w:val="28"/>
                      </w:rPr>
                      <w:fldChar w:fldCharType="separate"/>
                    </w:r>
                    <w:r>
                      <w:rPr>
                        <w:rStyle w:val="10"/>
                        <w:rFonts w:hint="eastAsia" w:ascii="宋体" w:eastAsia="宋体"/>
                        <w:sz w:val="28"/>
                        <w:szCs w:val="28"/>
                      </w:rPr>
                      <w:t>- 3 -</w:t>
                    </w:r>
                    <w:r>
                      <w:rPr>
                        <w:rFonts w:hint="eastAsia" w:ascii="宋体" w:eastAsia="宋体"/>
                        <w:sz w:val="28"/>
                        <w:szCs w:val="28"/>
                      </w:rPr>
                      <w:fldChar w:fldCharType="end"/>
                    </w:r>
                    <w:r>
                      <w:rPr>
                        <w:rFonts w:hint="eastAsia" w:ascii="宋体"/>
                        <w:sz w:val="28"/>
                        <w:szCs w:val="28"/>
                        <w:lang w:val="en-US" w:eastAsia="zh-CN"/>
                      </w:rPr>
                      <w:t xml:space="preserve"> </w:t>
                    </w:r>
                    <w:r>
                      <w:rPr>
                        <w:rFonts w:hint="eastAsia" w:ascii="宋体" w:hAnsi="宋体" w:cs="宋体"/>
                        <w:sz w:val="28"/>
                        <w:szCs w:val="28"/>
                      </w:rPr>
                      <w:t>－</w:t>
                    </w:r>
                  </w:p>
                  <w:p>
                    <w:pPr>
                      <w:pStyle w:val="4"/>
                      <w:rPr>
                        <w:rStyle w:val="10"/>
                        <w:rFonts w:hint="eastAsia" w:asci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fldChar w:fldCharType="begin"/>
    </w:r>
    <w:r>
      <w:rPr>
        <w:rStyle w:val="10"/>
      </w:rPr>
      <w:instrText xml:space="preserve">Page</w:instrText>
    </w:r>
    <w:r>
      <w:fldChar w:fldCharType="separate"/>
    </w:r>
    <w:r>
      <w:rPr>
        <w:rStyle w:val="10"/>
      </w:rPr>
      <w:t>- 3 -</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121ADC"/>
    <w:multiLevelType w:val="singleLevel"/>
    <w:tmpl w:val="E4121ADC"/>
    <w:lvl w:ilvl="0" w:tentative="0">
      <w:start w:val="2"/>
      <w:numFmt w:val="decimal"/>
      <w:lvlText w:val="%1."/>
      <w:lvlJc w:val="left"/>
      <w:pPr>
        <w:tabs>
          <w:tab w:val="left" w:pos="312"/>
        </w:tabs>
      </w:pPr>
    </w:lvl>
  </w:abstractNum>
  <w:abstractNum w:abstractNumId="1">
    <w:nsid w:val="57D0BDAF"/>
    <w:multiLevelType w:val="singleLevel"/>
    <w:tmpl w:val="57D0BDAF"/>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195F46"/>
    <w:rsid w:val="08AA3416"/>
    <w:rsid w:val="12C86BAE"/>
    <w:rsid w:val="13D86E09"/>
    <w:rsid w:val="14893C5C"/>
    <w:rsid w:val="182E4FD7"/>
    <w:rsid w:val="1896775C"/>
    <w:rsid w:val="1BC25D22"/>
    <w:rsid w:val="222E6FA0"/>
    <w:rsid w:val="24C77B39"/>
    <w:rsid w:val="2910378E"/>
    <w:rsid w:val="2C883F3B"/>
    <w:rsid w:val="2FC97859"/>
    <w:rsid w:val="2FFD2B27"/>
    <w:rsid w:val="311E36A5"/>
    <w:rsid w:val="34D51A7D"/>
    <w:rsid w:val="371C04E4"/>
    <w:rsid w:val="373D0BAF"/>
    <w:rsid w:val="3768180D"/>
    <w:rsid w:val="37A77FF7"/>
    <w:rsid w:val="3C9D6799"/>
    <w:rsid w:val="3D51301B"/>
    <w:rsid w:val="4080684C"/>
    <w:rsid w:val="41524E9F"/>
    <w:rsid w:val="46990AA6"/>
    <w:rsid w:val="47C07A2C"/>
    <w:rsid w:val="4AB112C6"/>
    <w:rsid w:val="4C8D3F6B"/>
    <w:rsid w:val="4EE52AAF"/>
    <w:rsid w:val="50AA1EEC"/>
    <w:rsid w:val="5232494C"/>
    <w:rsid w:val="52977774"/>
    <w:rsid w:val="537B4295"/>
    <w:rsid w:val="59166941"/>
    <w:rsid w:val="5AA45E16"/>
    <w:rsid w:val="5AEA19F5"/>
    <w:rsid w:val="5C3F27B0"/>
    <w:rsid w:val="68F35108"/>
    <w:rsid w:val="69ED4E4F"/>
    <w:rsid w:val="6AA80663"/>
    <w:rsid w:val="6DCC3395"/>
    <w:rsid w:val="6FC5227F"/>
    <w:rsid w:val="74573583"/>
    <w:rsid w:val="79AF76B0"/>
    <w:rsid w:val="7C3070C4"/>
    <w:rsid w:val="7DB3333B"/>
    <w:rsid w:val="DFF30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heading"/>
    <w:basedOn w:val="1"/>
    <w:next w:val="3"/>
    <w:semiHidden/>
    <w:qFormat/>
    <w:uiPriority w:val="99"/>
    <w:pPr>
      <w:spacing w:line="500" w:lineRule="exact"/>
    </w:pPr>
    <w:rPr>
      <w:rFonts w:ascii="仿宋_GB2312" w:eastAsia="仿宋_GB2312" w:cs="仿宋_GB2312"/>
      <w:sz w:val="28"/>
      <w:szCs w:val="28"/>
    </w:rPr>
  </w:style>
  <w:style w:type="paragraph" w:styleId="3">
    <w:name w:val="index 1"/>
    <w:basedOn w:val="1"/>
    <w:next w:val="1"/>
    <w:semiHidden/>
    <w:qFormat/>
    <w:uiPriority w:val="99"/>
    <w:pPr>
      <w:suppressLineNumbers/>
      <w:suppressAutoHyphens/>
      <w:adjustRightInd w:val="0"/>
      <w:spacing w:line="288" w:lineRule="auto"/>
    </w:pPr>
    <w:rPr>
      <w:sz w:val="24"/>
      <w:szCs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next w:val="4"/>
    <w:qFormat/>
    <w:uiPriority w:val="0"/>
    <w:pPr>
      <w:widowControl/>
      <w:spacing w:before="100" w:beforeAutospacing="1" w:after="100" w:afterAutospacing="1"/>
      <w:jc w:val="left"/>
    </w:pPr>
    <w:rPr>
      <w:rFonts w:ascii="宋体" w:hAnsi="Times New Roman" w:eastAsia="宋体" w:cs="宋体"/>
      <w:kern w:val="0"/>
      <w:sz w:val="24"/>
      <w:szCs w:val="24"/>
      <w:lang w:val="en-US" w:eastAsia="zh-CN"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99"/>
    <w:rPr>
      <w:rFonts w:cs="Times New Roman"/>
    </w:rPr>
  </w:style>
  <w:style w:type="paragraph" w:customStyle="1" w:styleId="11">
    <w:name w:val="1.正文"/>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lenovo</dc:creator>
  <cp:lastModifiedBy>xmadmin</cp:lastModifiedBy>
  <cp:lastPrinted>2020-12-25T16:20:00Z</cp:lastPrinted>
  <dcterms:modified xsi:type="dcterms:W3CDTF">2024-02-02T16:11:47Z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9921BFF717150620C3A3BC6591DC1ED6</vt:lpwstr>
  </property>
</Properties>
</file>